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0" w:type="dxa"/>
          <w:right w:w="0" w:type="dxa"/>
        </w:tblCellMar>
        <w:tblLook w:val="0000" w:firstRow="0" w:lastRow="0" w:firstColumn="0" w:lastColumn="0" w:noHBand="0" w:noVBand="0"/>
      </w:tblPr>
      <w:tblGrid>
        <w:gridCol w:w="2977"/>
        <w:gridCol w:w="6379"/>
      </w:tblGrid>
      <w:tr w:rsidR="00D7089A" w:rsidRPr="00263F5B" w:rsidTr="005B35D6">
        <w:trPr>
          <w:trHeight w:val="851"/>
        </w:trPr>
        <w:tc>
          <w:tcPr>
            <w:tcW w:w="2977" w:type="dxa"/>
            <w:tcMar>
              <w:top w:w="0" w:type="dxa"/>
              <w:left w:w="108" w:type="dxa"/>
              <w:bottom w:w="0" w:type="dxa"/>
              <w:right w:w="108" w:type="dxa"/>
            </w:tcMar>
          </w:tcPr>
          <w:p w:rsidR="00D7089A" w:rsidRPr="00263F5B" w:rsidRDefault="00D7089A" w:rsidP="00B6649D">
            <w:pPr>
              <w:spacing w:after="120"/>
              <w:ind w:right="-24"/>
              <w:jc w:val="center"/>
              <w:rPr>
                <w:b/>
                <w:bCs/>
                <w:sz w:val="26"/>
                <w:szCs w:val="26"/>
              </w:rPr>
            </w:pPr>
            <w:r w:rsidRPr="00263F5B">
              <w:rPr>
                <w:b/>
                <w:bCs/>
                <w:noProof/>
                <w:sz w:val="26"/>
                <w:szCs w:val="26"/>
              </w:rPr>
              <mc:AlternateContent>
                <mc:Choice Requires="wps">
                  <w:drawing>
                    <wp:anchor distT="0" distB="0" distL="114300" distR="114300" simplePos="0" relativeHeight="251659264" behindDoc="0" locked="0" layoutInCell="1" allowOverlap="1" wp14:anchorId="4D07A71E" wp14:editId="39A315F2">
                      <wp:simplePos x="0" y="0"/>
                      <wp:positionH relativeFrom="column">
                        <wp:posOffset>499745</wp:posOffset>
                      </wp:positionH>
                      <wp:positionV relativeFrom="paragraph">
                        <wp:posOffset>386080</wp:posOffset>
                      </wp:positionV>
                      <wp:extent cx="762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B8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0.4pt" to="99.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fNx4a9sAAAAIAQAADwAAAGRycy9kb3ducmV2LnhtbEyPQU/CQBCF7yb+&#10;h82YcCGwKyaAtVtigN68iBquQ3dsG7uzpbtA9de7DQc9znsvb76XrnrbiDN1vnas4X6qQBAXztRc&#10;anh/yydLED4gG2wck4Zv8rDKbm9STIy78Cudd6EUsYR9ghqqENpESl9UZNFPXUscvU/XWQzx7Epp&#10;OrzEctvImVJzabHm+KHCltYVFV+7k9Xg8w865j/jYqz2D6Wj2XHzskWtR3f98xOIQH34C8OAH9Eh&#10;i0wHd2LjRaNhsVzEpIa5igsG/3EQDldBZqn8PyD7BQAA//8DAFBLAQItABQABgAIAAAAIQC2gziS&#10;/gAAAOEBAAATAAAAAAAAAAAAAAAAAAAAAABbQ29udGVudF9UeXBlc10ueG1sUEsBAi0AFAAGAAgA&#10;AAAhADj9If/WAAAAlAEAAAsAAAAAAAAAAAAAAAAALwEAAF9yZWxzLy5yZWxzUEsBAi0AFAAGAAgA&#10;AAAhAA9FISMbAgAANQQAAA4AAAAAAAAAAAAAAAAALgIAAGRycy9lMm9Eb2MueG1sUEsBAi0AFAAG&#10;AAgAAAAhAHzceGvbAAAACAEAAA8AAAAAAAAAAAAAAAAAdQQAAGRycy9kb3ducmV2LnhtbFBLBQYA&#10;AAAABAAEAPMAAAB9BQAAAAA=&#10;"/>
                  </w:pict>
                </mc:Fallback>
              </mc:AlternateContent>
            </w:r>
            <w:r w:rsidRPr="00263F5B">
              <w:rPr>
                <w:bCs/>
                <w:sz w:val="26"/>
                <w:szCs w:val="26"/>
              </w:rPr>
              <w:t>UBND TỈNH GIA LAI</w:t>
            </w:r>
            <w:r w:rsidR="009E2986">
              <w:rPr>
                <w:b/>
                <w:bCs/>
                <w:sz w:val="26"/>
                <w:szCs w:val="26"/>
              </w:rPr>
              <w:br/>
              <w:t>SỞ TÀI CHÍNH</w:t>
            </w:r>
          </w:p>
        </w:tc>
        <w:tc>
          <w:tcPr>
            <w:tcW w:w="6379" w:type="dxa"/>
            <w:tcMar>
              <w:top w:w="0" w:type="dxa"/>
              <w:left w:w="108" w:type="dxa"/>
              <w:bottom w:w="0" w:type="dxa"/>
              <w:right w:w="108" w:type="dxa"/>
            </w:tcMar>
          </w:tcPr>
          <w:p w:rsidR="008F6AC6" w:rsidRPr="005B35D6" w:rsidRDefault="00D7089A" w:rsidP="005B35D6">
            <w:pPr>
              <w:spacing w:after="120"/>
              <w:ind w:right="-24"/>
              <w:jc w:val="center"/>
              <w:rPr>
                <w:b/>
                <w:bCs/>
                <w:sz w:val="28"/>
                <w:szCs w:val="28"/>
              </w:rPr>
            </w:pPr>
            <w:r w:rsidRPr="00263F5B">
              <w:rPr>
                <w:noProof/>
                <w:sz w:val="26"/>
                <w:szCs w:val="26"/>
              </w:rPr>
              <mc:AlternateContent>
                <mc:Choice Requires="wps">
                  <w:drawing>
                    <wp:anchor distT="0" distB="0" distL="114300" distR="114300" simplePos="0" relativeHeight="251660288" behindDoc="0" locked="0" layoutInCell="1" allowOverlap="1" wp14:anchorId="408DBBE8" wp14:editId="186E88B4">
                      <wp:simplePos x="0" y="0"/>
                      <wp:positionH relativeFrom="column">
                        <wp:posOffset>847090</wp:posOffset>
                      </wp:positionH>
                      <wp:positionV relativeFrom="paragraph">
                        <wp:posOffset>413384</wp:posOffset>
                      </wp:positionV>
                      <wp:extent cx="2238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AC9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32.55pt" to="242.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WUJAIAAEAEAAAOAAAAZHJzL2Uyb0RvYy54bWysU02P2yAQvVfqf0DcE8dOsptYcVaVnfSy&#10;7UbKtncC2EbFgIDEiar+9w7ko9n2UlX1AQ/MzOPNm2HxdOwkOnDrhFYFTocjjLiimgnVFPjL63ow&#10;w8h5ohiRWvECn7jDT8v37xa9yXmmWy0ZtwhAlMt7U+DWe5MniaMt74gbasMVOGttO+Jha5uEWdID&#10;eieTbDR6SHptmbGacufgtDo78TLi1zWn/qWuHfdIFhi4+bjauO7CmiwXJG8sMa2gFxrkH1h0RCi4&#10;9AZVEU/Q3oo/oDpBrXa69kOqu0TXtaA81gDVpKPfqtm2xPBYC4jjzE0m9/9g6efDxiLBCpxhpEgH&#10;Ldp6S0TTelRqpUBAbVEWdOqNyyG8VBsbKqVHtTXPmn5zSOmyJarhke/ryQBIGjKSNylh4wzctus/&#10;aQYxZO91FO1Y2w7VUpivITGAgzDoGLt0unWJHz2icJhl49n4cYoRvfoSkgeIkGis8x+57lAwCiyF&#10;CgKSnByenQ+UfoWEY6XXQso4BFKhvsDzaTaNCU5LwYIzhDnb7Epp0YGEMYpfrA8892FW7xWLYC0n&#10;bHWxPRHybMPlUgU8KAXoXKzznHyfj+ar2Wo2GUyyh9VgMqqqwYd1ORk8rNPHaTWuyrJKfwRq6SRv&#10;BWNcBXbXmU0nfzcTl9dznrbb1N5kSN6iR72A7PUfSceuhkaeR2Kn2Wljr92GMY3BlycV3sH9Huz7&#10;h7/8CQAA//8DAFBLAwQUAAYACAAAACEAf/hqnt0AAAAJAQAADwAAAGRycy9kb3ducmV2LnhtbEyP&#10;wU7DMAyG70i8Q2Qkbizduk1b13SaEHBBQmKUndPGtBWJUzVZV94eIw5w/O1Pvz/n+8lZMeIQOk8K&#10;5rMEBFLtTUeNgvLt8W4DIkRNRltPqOALA+yL66tcZ8Zf6BXHY2wEl1DItII2xj6TMtQtOh1mvkfi&#10;3YcfnI4ch0aaQV+43Fm5SJK1dLojvtDqHu9brD+PZ6fgcHp+SF/Gynlrtk35blyZPC2Uur2ZDjsQ&#10;Eaf4B8OPPqtDwU6VP5MJwnJO0yWjCtarOQgGlpvVFkT1O5BFLv9/UHwDAAD//wMAUEsBAi0AFAAG&#10;AAgAAAAhALaDOJL+AAAA4QEAABMAAAAAAAAAAAAAAAAAAAAAAFtDb250ZW50X1R5cGVzXS54bWxQ&#10;SwECLQAUAAYACAAAACEAOP0h/9YAAACUAQAACwAAAAAAAAAAAAAAAAAvAQAAX3JlbHMvLnJlbHNQ&#10;SwECLQAUAAYACAAAACEAgjSFlCQCAABABAAADgAAAAAAAAAAAAAAAAAuAgAAZHJzL2Uyb0RvYy54&#10;bWxQSwECLQAUAAYACAAAACEAf/hqnt0AAAAJAQAADwAAAAAAAAAAAAAAAAB+BAAAZHJzL2Rvd25y&#10;ZXYueG1sUEsFBgAAAAAEAAQA8wAAAIgFAAAAAA==&#10;"/>
                  </w:pict>
                </mc:Fallback>
              </mc:AlternateContent>
            </w:r>
            <w:r w:rsidRPr="00263F5B">
              <w:rPr>
                <w:b/>
                <w:bCs/>
                <w:sz w:val="26"/>
                <w:szCs w:val="26"/>
              </w:rPr>
              <w:t xml:space="preserve">CỘNG HÒA XÃ HỘI CHỦ NGHĨA VIỆT </w:t>
            </w:r>
            <w:smartTag w:uri="urn:schemas-microsoft-com:office:smarttags" w:element="place">
              <w:smartTag w:uri="urn:schemas-microsoft-com:office:smarttags" w:element="country-region">
                <w:r w:rsidRPr="00263F5B">
                  <w:rPr>
                    <w:b/>
                    <w:bCs/>
                    <w:sz w:val="26"/>
                    <w:szCs w:val="26"/>
                  </w:rPr>
                  <w:t>NAM</w:t>
                </w:r>
              </w:smartTag>
            </w:smartTag>
            <w:r w:rsidRPr="00263F5B">
              <w:rPr>
                <w:b/>
                <w:bCs/>
                <w:szCs w:val="26"/>
              </w:rPr>
              <w:br/>
            </w:r>
            <w:r w:rsidRPr="00263F5B">
              <w:rPr>
                <w:b/>
                <w:bCs/>
                <w:sz w:val="28"/>
                <w:szCs w:val="28"/>
              </w:rPr>
              <w:t>Độc lập – Tự do – Hạnh phúc</w:t>
            </w:r>
          </w:p>
        </w:tc>
      </w:tr>
      <w:tr w:rsidR="00D7089A" w:rsidRPr="00263F5B" w:rsidTr="00BA504E">
        <w:trPr>
          <w:trHeight w:val="416"/>
        </w:trPr>
        <w:tc>
          <w:tcPr>
            <w:tcW w:w="2977" w:type="dxa"/>
            <w:tcMar>
              <w:top w:w="0" w:type="dxa"/>
              <w:left w:w="108" w:type="dxa"/>
              <w:bottom w:w="0" w:type="dxa"/>
              <w:right w:w="108" w:type="dxa"/>
            </w:tcMar>
          </w:tcPr>
          <w:p w:rsidR="00D7089A" w:rsidRPr="00263F5B" w:rsidRDefault="00D7089A" w:rsidP="00017814">
            <w:pPr>
              <w:spacing w:after="120"/>
              <w:ind w:right="-24"/>
              <w:jc w:val="center"/>
              <w:rPr>
                <w:sz w:val="26"/>
                <w:szCs w:val="26"/>
              </w:rPr>
            </w:pPr>
            <w:r w:rsidRPr="00263F5B">
              <w:rPr>
                <w:sz w:val="26"/>
                <w:szCs w:val="26"/>
              </w:rPr>
              <w:t xml:space="preserve">Số:     </w:t>
            </w:r>
            <w:r>
              <w:rPr>
                <w:sz w:val="26"/>
                <w:szCs w:val="26"/>
              </w:rPr>
              <w:t xml:space="preserve">    </w:t>
            </w:r>
            <w:r w:rsidRPr="00263F5B">
              <w:rPr>
                <w:sz w:val="26"/>
                <w:szCs w:val="26"/>
              </w:rPr>
              <w:t xml:space="preserve">  /</w:t>
            </w:r>
            <w:r>
              <w:rPr>
                <w:sz w:val="26"/>
                <w:szCs w:val="26"/>
              </w:rPr>
              <w:t>TTr-STC</w:t>
            </w:r>
          </w:p>
        </w:tc>
        <w:tc>
          <w:tcPr>
            <w:tcW w:w="6379" w:type="dxa"/>
            <w:tcMar>
              <w:top w:w="0" w:type="dxa"/>
              <w:left w:w="108" w:type="dxa"/>
              <w:bottom w:w="0" w:type="dxa"/>
              <w:right w:w="108" w:type="dxa"/>
            </w:tcMar>
          </w:tcPr>
          <w:p w:rsidR="00D7089A" w:rsidRPr="00F731D4" w:rsidRDefault="00D7089A" w:rsidP="008E225B">
            <w:pPr>
              <w:spacing w:after="120"/>
              <w:ind w:right="-24"/>
              <w:jc w:val="center"/>
              <w:rPr>
                <w:sz w:val="28"/>
                <w:szCs w:val="28"/>
              </w:rPr>
            </w:pPr>
            <w:r w:rsidRPr="00263F5B">
              <w:rPr>
                <w:i/>
                <w:iCs/>
                <w:sz w:val="28"/>
                <w:szCs w:val="28"/>
              </w:rPr>
              <w:t xml:space="preserve">Gia Lai, ngày     tháng </w:t>
            </w:r>
            <w:r>
              <w:rPr>
                <w:i/>
                <w:iCs/>
                <w:sz w:val="28"/>
                <w:szCs w:val="28"/>
              </w:rPr>
              <w:t xml:space="preserve">   </w:t>
            </w:r>
            <w:r w:rsidR="00E9522F">
              <w:rPr>
                <w:i/>
                <w:iCs/>
                <w:sz w:val="28"/>
                <w:szCs w:val="28"/>
              </w:rPr>
              <w:t xml:space="preserve"> năm 2023</w:t>
            </w:r>
          </w:p>
        </w:tc>
      </w:tr>
    </w:tbl>
    <w:p w:rsidR="00D7089A" w:rsidRPr="002D682A" w:rsidRDefault="00D7089A" w:rsidP="00017814">
      <w:pPr>
        <w:spacing w:before="240"/>
        <w:jc w:val="center"/>
        <w:rPr>
          <w:b/>
          <w:color w:val="000000"/>
          <w:sz w:val="28"/>
          <w:szCs w:val="28"/>
        </w:rPr>
      </w:pPr>
      <w:r w:rsidRPr="002D682A">
        <w:rPr>
          <w:b/>
          <w:color w:val="000000"/>
          <w:sz w:val="28"/>
          <w:szCs w:val="28"/>
        </w:rPr>
        <w:t>TỜ TRÌNH</w:t>
      </w:r>
    </w:p>
    <w:p w:rsidR="00B43D0E" w:rsidRDefault="00D35398" w:rsidP="00D7089A">
      <w:pPr>
        <w:jc w:val="center"/>
        <w:rPr>
          <w:b/>
          <w:color w:val="000000"/>
          <w:sz w:val="28"/>
          <w:szCs w:val="28"/>
        </w:rPr>
      </w:pPr>
      <w:r w:rsidRPr="00D35398">
        <w:rPr>
          <w:b/>
          <w:color w:val="000000"/>
          <w:sz w:val="28"/>
          <w:szCs w:val="28"/>
        </w:rPr>
        <w:t xml:space="preserve">Đề nghị </w:t>
      </w:r>
      <w:r>
        <w:rPr>
          <w:b/>
          <w:color w:val="000000"/>
          <w:sz w:val="28"/>
          <w:szCs w:val="28"/>
        </w:rPr>
        <w:t>ban hành Quyết định</w:t>
      </w:r>
      <w:r w:rsidRPr="00D35398">
        <w:rPr>
          <w:b/>
          <w:color w:val="000000"/>
          <w:sz w:val="28"/>
          <w:szCs w:val="28"/>
        </w:rPr>
        <w:t xml:space="preserve"> quy định phân cấp cho các cơ quan </w:t>
      </w:r>
    </w:p>
    <w:p w:rsidR="00B43D0E" w:rsidRDefault="00D35398" w:rsidP="00D7089A">
      <w:pPr>
        <w:jc w:val="center"/>
        <w:rPr>
          <w:b/>
          <w:color w:val="000000"/>
          <w:sz w:val="28"/>
          <w:szCs w:val="28"/>
        </w:rPr>
      </w:pPr>
      <w:r w:rsidRPr="00D35398">
        <w:rPr>
          <w:b/>
          <w:color w:val="000000"/>
          <w:sz w:val="28"/>
          <w:szCs w:val="28"/>
        </w:rPr>
        <w:t xml:space="preserve">chủ quản quyết định giao quyền tự chủ tài chính cho </w:t>
      </w:r>
    </w:p>
    <w:p w:rsidR="00541E42" w:rsidRDefault="00D35398" w:rsidP="00D7089A">
      <w:pPr>
        <w:jc w:val="center"/>
        <w:rPr>
          <w:b/>
          <w:color w:val="000000"/>
          <w:sz w:val="28"/>
          <w:szCs w:val="28"/>
        </w:rPr>
      </w:pPr>
      <w:r w:rsidRPr="00D35398">
        <w:rPr>
          <w:b/>
          <w:color w:val="000000"/>
          <w:sz w:val="28"/>
          <w:szCs w:val="28"/>
        </w:rPr>
        <w:t>đơn vị sự nghiệp công lập trực thuộc.</w:t>
      </w:r>
    </w:p>
    <w:p w:rsidR="00D7089A" w:rsidRPr="00274574" w:rsidRDefault="00015BA3" w:rsidP="00D7089A">
      <w:pPr>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-5715</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10E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45pt,-.45pt" to="27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hmtA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5Xb9uWR6Cvb80jMVLK&#10;HwG9KIdeOhuKbNWpw6eUORlDrxB2SiHn1PWUTw4K2IWvYFhKSVbZdYlg60gcFI9/+LEsMjhWRRaK&#10;sc7NpPbfpAu20KAu1v8SZ3TNiCHPRG8D0t+y5uO1VHPGX1WftRbZDzic6iBqO3g7qrLLJpf1+92v&#10;9Mf/bfMLAAD//wMAUEsDBBQABgAIAAAAIQAghy1p2gAAAAcBAAAPAAAAZHJzL2Rvd25yZXYueG1s&#10;TI7BTsMwEETvSPyDtUjcWoegFprGqapKCHFBNIW7G2+dgL2ObCcNf4/LBU6rpxnNvnIzWcNG9KFz&#10;JOBungFDapzqSAt4PzzNHoGFKElJ4wgFfGOATXV9VcpCuTPtcayjZmmEQiEFtDH2BeehadHKMHc9&#10;UspOzlsZE3rNlZfnNG4Nz7Nsya3sKH1oZY+7FpuverACzIsfP/ROb8PwvF/Wn2+n/PUwCnF7M23X&#10;wCJO8a8MF/2kDlVyOrqBVGBGwP1DvkpVAbN0Ur5YXPj4y7wq+X//6gcAAP//AwBQSwECLQAUAAYA&#10;CAAAACEAtoM4kv4AAADhAQAAEwAAAAAAAAAAAAAAAAAAAAAAW0NvbnRlbnRfVHlwZXNdLnhtbFBL&#10;AQItABQABgAIAAAAIQA4/SH/1gAAAJQBAAALAAAAAAAAAAAAAAAAAC8BAABfcmVscy8ucmVsc1BL&#10;AQItABQABgAIAAAAIQC01bhmtAEAALcDAAAOAAAAAAAAAAAAAAAAAC4CAABkcnMvZTJvRG9jLnht&#10;bFBLAQItABQABgAIAAAAIQAghy1p2gAAAAcBAAAPAAAAAAAAAAAAAAAAAA4EAABkcnMvZG93bnJl&#10;di54bWxQSwUGAAAAAAQABADzAAAAFQUAAAAA&#10;" strokecolor="black [3200]" strokeweight=".5pt">
                <v:stroke joinstyle="miter"/>
              </v:line>
            </w:pict>
          </mc:Fallback>
        </mc:AlternateContent>
      </w:r>
    </w:p>
    <w:p w:rsidR="00D7089A" w:rsidRDefault="00D7089A" w:rsidP="0019147F">
      <w:pPr>
        <w:jc w:val="center"/>
        <w:rPr>
          <w:color w:val="000000"/>
          <w:sz w:val="28"/>
          <w:szCs w:val="28"/>
        </w:rPr>
      </w:pPr>
      <w:r w:rsidRPr="000F1AB4">
        <w:rPr>
          <w:color w:val="000000"/>
          <w:sz w:val="28"/>
          <w:szCs w:val="28"/>
        </w:rPr>
        <w:t>Kính gửi: Ủy ban nhân dân tỉnh Gia Lai</w:t>
      </w:r>
      <w:r w:rsidR="0030128D">
        <w:rPr>
          <w:color w:val="000000"/>
          <w:sz w:val="28"/>
          <w:szCs w:val="28"/>
        </w:rPr>
        <w:t>.</w:t>
      </w:r>
    </w:p>
    <w:p w:rsidR="005C1B91" w:rsidRDefault="005C1B91" w:rsidP="0019147F">
      <w:pPr>
        <w:jc w:val="center"/>
        <w:rPr>
          <w:color w:val="000000"/>
          <w:sz w:val="28"/>
          <w:szCs w:val="28"/>
        </w:rPr>
      </w:pPr>
    </w:p>
    <w:p w:rsidR="0030128D" w:rsidRPr="0016165D" w:rsidRDefault="00C46BAC" w:rsidP="008A23B9">
      <w:pPr>
        <w:spacing w:before="60" w:after="60"/>
        <w:ind w:firstLine="567"/>
        <w:jc w:val="both"/>
        <w:rPr>
          <w:color w:val="000000"/>
          <w:sz w:val="28"/>
          <w:szCs w:val="28"/>
        </w:rPr>
      </w:pPr>
      <w:r w:rsidRPr="0016165D">
        <w:rPr>
          <w:color w:val="000000"/>
          <w:sz w:val="28"/>
          <w:szCs w:val="28"/>
        </w:rPr>
        <w:t xml:space="preserve">Thực hiện quy định của Luật Ban </w:t>
      </w:r>
      <w:r w:rsidR="001C398D">
        <w:rPr>
          <w:color w:val="000000"/>
          <w:sz w:val="28"/>
          <w:szCs w:val="28"/>
        </w:rPr>
        <w:t>hành văn bản quy phạm pháp luật,</w:t>
      </w:r>
      <w:r w:rsidRPr="0016165D">
        <w:rPr>
          <w:color w:val="000000"/>
          <w:sz w:val="28"/>
          <w:szCs w:val="28"/>
        </w:rPr>
        <w:t xml:space="preserve"> Sở Tài chính kính trình Uỷ ban nhân dân tỉnh dự thảo Quyết định quy định phân cấp cho các cơ quan chủ quản quyết định giao quyền tự chủ tài chính cho đơn vị sự nghiệp công lập trực thuộc như sau:</w:t>
      </w:r>
    </w:p>
    <w:p w:rsidR="00A4741C" w:rsidRPr="0016165D" w:rsidRDefault="006A0220" w:rsidP="008A23B9">
      <w:pPr>
        <w:spacing w:before="60" w:after="60"/>
        <w:ind w:firstLine="567"/>
        <w:jc w:val="both"/>
        <w:rPr>
          <w:b/>
          <w:sz w:val="28"/>
          <w:szCs w:val="28"/>
        </w:rPr>
      </w:pPr>
      <w:r w:rsidRPr="0016165D">
        <w:rPr>
          <w:b/>
          <w:sz w:val="28"/>
          <w:szCs w:val="28"/>
        </w:rPr>
        <w:t>I</w:t>
      </w:r>
      <w:r w:rsidR="000E6AB4" w:rsidRPr="0016165D">
        <w:rPr>
          <w:b/>
          <w:sz w:val="28"/>
          <w:szCs w:val="28"/>
        </w:rPr>
        <w:t>.</w:t>
      </w:r>
      <w:r w:rsidR="00A4741C" w:rsidRPr="0016165D">
        <w:rPr>
          <w:sz w:val="28"/>
          <w:szCs w:val="28"/>
        </w:rPr>
        <w:t xml:space="preserve"> </w:t>
      </w:r>
      <w:r w:rsidR="00A4741C" w:rsidRPr="0016165D">
        <w:rPr>
          <w:b/>
          <w:sz w:val="28"/>
          <w:szCs w:val="28"/>
        </w:rPr>
        <w:t xml:space="preserve"> SỰ CẦN THIẾT BAN HÀNH VĂN BẢN</w:t>
      </w:r>
    </w:p>
    <w:p w:rsidR="00B74F3D" w:rsidRPr="0016165D" w:rsidRDefault="00B74F3D" w:rsidP="008A23B9">
      <w:pPr>
        <w:pStyle w:val="NormalWeb"/>
        <w:spacing w:before="60" w:beforeAutospacing="0" w:after="60" w:afterAutospacing="0"/>
        <w:ind w:firstLine="567"/>
        <w:jc w:val="both"/>
        <w:rPr>
          <w:color w:val="000000"/>
          <w:sz w:val="28"/>
          <w:szCs w:val="28"/>
          <w:lang w:val="en-US"/>
        </w:rPr>
      </w:pPr>
      <w:r w:rsidRPr="0016165D">
        <w:rPr>
          <w:bCs/>
          <w:color w:val="000000"/>
          <w:spacing w:val="-2"/>
          <w:sz w:val="28"/>
          <w:szCs w:val="28"/>
          <w:lang w:val="en-US"/>
        </w:rPr>
        <w:t>-</w:t>
      </w:r>
      <w:r w:rsidRPr="0016165D">
        <w:rPr>
          <w:color w:val="000000"/>
          <w:sz w:val="28"/>
          <w:szCs w:val="28"/>
          <w:lang w:val="en-US"/>
        </w:rPr>
        <w:t xml:space="preserve"> </w:t>
      </w:r>
      <w:r w:rsidRPr="0016165D">
        <w:rPr>
          <w:bCs/>
          <w:color w:val="000000"/>
          <w:spacing w:val="-2"/>
          <w:sz w:val="28"/>
          <w:szCs w:val="28"/>
          <w:lang w:val="en-US"/>
        </w:rPr>
        <w:t>Tại khoản 1, 3 Điều 35</w:t>
      </w:r>
      <w:r w:rsidRPr="0016165D">
        <w:rPr>
          <w:b/>
          <w:bCs/>
          <w:color w:val="000000"/>
          <w:spacing w:val="-2"/>
          <w:sz w:val="28"/>
          <w:szCs w:val="28"/>
          <w:lang w:val="en-US"/>
        </w:rPr>
        <w:t xml:space="preserve">, </w:t>
      </w:r>
      <w:r w:rsidRPr="0016165D">
        <w:rPr>
          <w:color w:val="000000"/>
          <w:sz w:val="28"/>
          <w:szCs w:val="28"/>
          <w:lang w:val="en-US"/>
        </w:rPr>
        <w:t>Nghị định số 60/2021/NĐ-CP ngày 21/6/2021 của Chính phủ, quy định:</w:t>
      </w:r>
    </w:p>
    <w:p w:rsidR="00B74F3D" w:rsidRPr="0016165D" w:rsidRDefault="00B74F3D" w:rsidP="008A23B9">
      <w:pPr>
        <w:pStyle w:val="NormalWeb"/>
        <w:spacing w:before="60" w:beforeAutospacing="0" w:after="60" w:afterAutospacing="0"/>
        <w:ind w:firstLine="567"/>
        <w:jc w:val="both"/>
        <w:rPr>
          <w:i/>
          <w:color w:val="000000"/>
          <w:sz w:val="28"/>
          <w:szCs w:val="28"/>
          <w:lang w:val="en-US"/>
        </w:rPr>
      </w:pPr>
      <w:r w:rsidRPr="0016165D">
        <w:rPr>
          <w:i/>
          <w:color w:val="000000"/>
          <w:sz w:val="28"/>
          <w:szCs w:val="28"/>
          <w:lang w:val="en-US"/>
        </w:rPr>
        <w:t>“1. Đơn vị sự nghiệp công xây dựng phương án tự chủ tài chính trong giai đoạn ổn định 05 (năm) năm, phù hợp với giai đoạn phát triển kinh tế - xã hội do Chính phủ quy định; dự toán thu, chi năm đầu thời kỳ ổn định và đề xuất phân loại mức độ tự chủ tài chính của đơn vị, phù hợp với chức năng, nhiệm vụ được cấp có thẩm quyền giao (theo mẫu quy định tại Phụ lục II ban hành kèm theo Nghị định này), báo cáo cơ quan quản lý cấp trên (bộ, cơ quan trung ương đối với đơn vị thuộc trung ương quản lý; Ủy ban nhân dân cấp tỉnh, cấp huyện đối với đơn vị thuộc địa phương quản lý). Nội dung của phương án tự chủ tài chính cần xác định rõ mức độ tự chủ tài chính theo 04 nhóm đơn vị quy định tại Nghị định này.</w:t>
      </w:r>
    </w:p>
    <w:p w:rsidR="00B74F3D" w:rsidRPr="0016165D" w:rsidRDefault="00B74F3D" w:rsidP="008A23B9">
      <w:pPr>
        <w:pStyle w:val="NormalWeb"/>
        <w:spacing w:before="60" w:beforeAutospacing="0" w:after="60" w:afterAutospacing="0"/>
        <w:ind w:firstLine="567"/>
        <w:jc w:val="both"/>
        <w:rPr>
          <w:bCs/>
          <w:i/>
          <w:color w:val="000000"/>
          <w:spacing w:val="-2"/>
          <w:sz w:val="28"/>
          <w:szCs w:val="28"/>
          <w:lang w:val="en-US"/>
        </w:rPr>
      </w:pPr>
      <w:r w:rsidRPr="0016165D">
        <w:rPr>
          <w:bCs/>
          <w:i/>
          <w:color w:val="000000"/>
          <w:spacing w:val="-2"/>
          <w:sz w:val="28"/>
          <w:szCs w:val="28"/>
          <w:lang w:val="en-US"/>
        </w:rPr>
        <w:t>3. Căn cứ phương án tự chủ tài chính do các đơn vị sự nghiệp công đề xuất (không bao gồm phương án tự chủ của đơn vị sự nghiệp công tại điểm a khoản 2 Điều này), cơ quan quản lý cấp trên xem xét, thẩm tra dự toán thu, chi thường xuyên năm đầu thời kỳ ổn định và xác định kinh phí chi thường xuyên từ nguồn ngân sách nhà nước, nguồn thu phí được để lại chi; kinh phí ngân sách nhà nước đặt hàng cung cấp dịch vụ sự nghiệp công (trường hợp tại thời điểm thẩm định phương án tự chủ tài chính xác định được kinh phí đặt hàng cho đơn vị); dự kiến phân loại các đơn vị trực thuộc theo mức độ tự chủ tài chính, tổng hợp phương án phân loại và dự toán thu, chi của các đơn vị sự nghiệp công, có văn bản gửi cơ quan tài chính cùng cấp (Bộ Tài chính, cơ quan tài chính ở địa phương theo phân cấp) xem xét, có ý kiến.</w:t>
      </w:r>
    </w:p>
    <w:p w:rsidR="00B74F3D" w:rsidRPr="0016165D" w:rsidRDefault="00B74F3D" w:rsidP="008A23B9">
      <w:pPr>
        <w:pStyle w:val="NormalWeb"/>
        <w:spacing w:before="60" w:beforeAutospacing="0" w:after="60" w:afterAutospacing="0"/>
        <w:ind w:firstLine="567"/>
        <w:jc w:val="both"/>
        <w:rPr>
          <w:bCs/>
          <w:i/>
          <w:color w:val="000000"/>
          <w:spacing w:val="-2"/>
          <w:sz w:val="28"/>
          <w:szCs w:val="28"/>
          <w:lang w:val="en-US"/>
        </w:rPr>
      </w:pPr>
      <w:r w:rsidRPr="0016165D">
        <w:rPr>
          <w:bCs/>
          <w:i/>
          <w:color w:val="000000"/>
          <w:spacing w:val="-2"/>
          <w:sz w:val="28"/>
          <w:szCs w:val="28"/>
          <w:lang w:val="en-US"/>
        </w:rPr>
        <w:t>Sau khi có ý kiến bằng văn bản của cơ quan tài chính cùng cấp, cơ quan quản lý cấp trên xác định phân loại đơn vị và ra quyết định giao quyền tự chủ tài chính cho các đơn vị sự nghiệp công trực thuộc; phê duyệt dự toán kinh phí chi thường xuyên từ nguồn ngân sách nhà nước, nguồn thu phí được để lại chi; kinh phí ngân sách nhà nước đặt hàng cung cấp dịch vụ sự nghiệp công (nếu có) cho các đơn vị theo phương án tự chủ tài chính năm đầu thời kỳ ổn định.”</w:t>
      </w:r>
    </w:p>
    <w:p w:rsidR="00B74F3D" w:rsidRPr="0016165D" w:rsidRDefault="00B74F3D" w:rsidP="008A23B9">
      <w:pPr>
        <w:pStyle w:val="NormalWeb"/>
        <w:spacing w:before="60" w:beforeAutospacing="0" w:after="60" w:afterAutospacing="0"/>
        <w:ind w:firstLine="567"/>
        <w:jc w:val="both"/>
        <w:rPr>
          <w:i/>
          <w:color w:val="000000"/>
          <w:sz w:val="28"/>
          <w:szCs w:val="28"/>
          <w:lang w:val="en-US"/>
        </w:rPr>
      </w:pPr>
      <w:r w:rsidRPr="0016165D">
        <w:rPr>
          <w:bCs/>
          <w:color w:val="000000"/>
          <w:spacing w:val="-2"/>
          <w:sz w:val="28"/>
          <w:szCs w:val="28"/>
          <w:lang w:val="en-US"/>
        </w:rPr>
        <w:lastRenderedPageBreak/>
        <w:t>- Tại điểm b, khoản 2, Điều 40</w:t>
      </w:r>
      <w:r w:rsidRPr="0016165D">
        <w:rPr>
          <w:b/>
          <w:bCs/>
          <w:color w:val="000000"/>
          <w:spacing w:val="-2"/>
          <w:sz w:val="28"/>
          <w:szCs w:val="28"/>
          <w:lang w:val="en-US"/>
        </w:rPr>
        <w:t xml:space="preserve">, </w:t>
      </w:r>
      <w:r w:rsidRPr="0016165D">
        <w:rPr>
          <w:color w:val="000000"/>
          <w:sz w:val="28"/>
          <w:szCs w:val="28"/>
          <w:lang w:val="en-US"/>
        </w:rPr>
        <w:t>Nghị định số 60/2021/NĐ-CP ngày 21/6/2021 của Chính phủ, quy định:</w:t>
      </w:r>
      <w:r w:rsidRPr="0016165D">
        <w:rPr>
          <w:b/>
          <w:bCs/>
          <w:color w:val="000000"/>
          <w:spacing w:val="-2"/>
          <w:sz w:val="28"/>
          <w:szCs w:val="28"/>
          <w:lang w:val="en-US"/>
        </w:rPr>
        <w:t xml:space="preserve"> </w:t>
      </w:r>
      <w:r w:rsidRPr="0016165D">
        <w:rPr>
          <w:bCs/>
          <w:i/>
          <w:color w:val="000000"/>
          <w:spacing w:val="-2"/>
          <w:sz w:val="28"/>
          <w:szCs w:val="28"/>
          <w:lang w:val="en-US"/>
        </w:rPr>
        <w:t>“</w:t>
      </w:r>
      <w:r w:rsidRPr="0016165D">
        <w:rPr>
          <w:i/>
          <w:color w:val="000000"/>
          <w:sz w:val="28"/>
          <w:szCs w:val="28"/>
        </w:rPr>
        <w:t>2. Từ năm 2022, các đơn vị sự nghiệp công thực hiện theo quy định tại Điều 35 của Nghị định này và các quy định sau:</w:t>
      </w:r>
    </w:p>
    <w:p w:rsidR="00B74F3D" w:rsidRPr="0016165D" w:rsidRDefault="00B74F3D" w:rsidP="008A23B9">
      <w:pPr>
        <w:pStyle w:val="NormalWeb"/>
        <w:spacing w:before="60" w:beforeAutospacing="0" w:after="60" w:afterAutospacing="0"/>
        <w:ind w:firstLine="567"/>
        <w:jc w:val="both"/>
        <w:rPr>
          <w:i/>
          <w:color w:val="000000"/>
          <w:sz w:val="28"/>
          <w:szCs w:val="28"/>
          <w:lang w:val="en-US"/>
        </w:rPr>
      </w:pPr>
      <w:r w:rsidRPr="0016165D">
        <w:rPr>
          <w:i/>
          <w:color w:val="000000"/>
          <w:sz w:val="28"/>
          <w:szCs w:val="28"/>
        </w:rPr>
        <w:t>b) Đến ngày 30 tháng 6 năm 2022, các bộ, cơ quan trung ương, Ủy ban nhân dân cấp tỉnh, cấp huyện phê duyệt phương án tự chủ tài chính của đơn vị sự nghiệp công thuộc phạm vi quản lý sau khi có ý kiến của cơ quan tài chính cùng cấp.</w:t>
      </w:r>
      <w:r w:rsidRPr="0016165D">
        <w:rPr>
          <w:i/>
          <w:color w:val="000000"/>
          <w:sz w:val="28"/>
          <w:szCs w:val="28"/>
          <w:lang w:val="en-US"/>
        </w:rPr>
        <w:t>”</w:t>
      </w:r>
    </w:p>
    <w:p w:rsidR="00B74F3D" w:rsidRPr="0016165D" w:rsidRDefault="00B74F3D" w:rsidP="008A23B9">
      <w:pPr>
        <w:spacing w:before="60" w:after="60"/>
        <w:ind w:firstLine="567"/>
        <w:jc w:val="both"/>
        <w:rPr>
          <w:bCs/>
          <w:color w:val="000000"/>
          <w:spacing w:val="-2"/>
          <w:sz w:val="28"/>
          <w:szCs w:val="28"/>
        </w:rPr>
      </w:pPr>
      <w:r w:rsidRPr="0016165D">
        <w:rPr>
          <w:b/>
          <w:bCs/>
          <w:color w:val="000000"/>
          <w:spacing w:val="-2"/>
          <w:sz w:val="28"/>
          <w:szCs w:val="28"/>
        </w:rPr>
        <w:t xml:space="preserve">- </w:t>
      </w:r>
      <w:r w:rsidRPr="0016165D">
        <w:rPr>
          <w:bCs/>
          <w:color w:val="000000"/>
          <w:spacing w:val="-2"/>
          <w:sz w:val="28"/>
          <w:szCs w:val="28"/>
        </w:rPr>
        <w:t xml:space="preserve">Tại khoản 1, Công văn số 9975/BTC-HCSN ngày 30/9/2022 của Bộ Tài chính về việc triển khai thực hiện Nghị quyết số 116/NQ-CP ngày 05/9/2022, quy định: </w:t>
      </w:r>
    </w:p>
    <w:p w:rsidR="00B74F3D" w:rsidRPr="0016165D" w:rsidRDefault="00B74F3D" w:rsidP="008A23B9">
      <w:pPr>
        <w:spacing w:before="60" w:after="60"/>
        <w:ind w:firstLine="567"/>
        <w:jc w:val="both"/>
        <w:rPr>
          <w:bCs/>
          <w:i/>
          <w:color w:val="000000"/>
          <w:spacing w:val="-2"/>
          <w:sz w:val="28"/>
          <w:szCs w:val="28"/>
        </w:rPr>
      </w:pPr>
      <w:r w:rsidRPr="0016165D">
        <w:rPr>
          <w:bCs/>
          <w:i/>
          <w:color w:val="000000"/>
          <w:spacing w:val="-2"/>
          <w:sz w:val="28"/>
          <w:szCs w:val="28"/>
        </w:rPr>
        <w:t>“Từ năm 2023, các đơn vị sự nghiệp công lập xây dựng phương án tự chủ tài chính trình cấp có thẩm quyền xem xét, phê duyệt theo quy định tại Nghị định số 60/2021/NĐ-CP ngày 21 tháng 6 năm 2021 của Chính phủ quy định cơ chế tự chủ tài chính của đơn vị sự nghiệp công lập và Thông tư số 56/2022/TT-BTC ngày 16/9/2022 của Bộ Tài chính hướng dẫn một số nội dung về cơ chế tự chủ tài chính của đơn vị sự nghiệp công lập; xử lý tài sản, tài chính khi tổ chức lại, giải thể đơn vị sự nghiệp công lập.”</w:t>
      </w:r>
    </w:p>
    <w:p w:rsidR="00B74F3D" w:rsidRPr="0016165D" w:rsidRDefault="00B74F3D" w:rsidP="008A23B9">
      <w:pPr>
        <w:spacing w:before="60" w:after="60"/>
        <w:ind w:firstLine="567"/>
        <w:jc w:val="both"/>
        <w:rPr>
          <w:i/>
          <w:color w:val="000000"/>
          <w:sz w:val="28"/>
          <w:szCs w:val="28"/>
        </w:rPr>
      </w:pPr>
      <w:r w:rsidRPr="0016165D">
        <w:rPr>
          <w:color w:val="000000"/>
          <w:sz w:val="28"/>
          <w:szCs w:val="28"/>
        </w:rPr>
        <w:t>- Tại Điểm b, khoản 2, Điều 9, Thông tư số 56/2022/TT-BTC ngày 16/9/2022 của Bộ trưởng Bộ Tài chính hướng dẫn một số nội dung về cơ chế tự chủ tài chính của đơn vị sự nghiệp công lập; xử lý tài sản, tài chính khi tổ chức lại, giải thể đơn vị sự nghiệp công lập, quy định:</w:t>
      </w:r>
      <w:r w:rsidRPr="0016165D">
        <w:rPr>
          <w:i/>
          <w:color w:val="000000"/>
          <w:sz w:val="28"/>
          <w:szCs w:val="28"/>
        </w:rPr>
        <w:t xml:space="preserve"> “Sau khi có ý kiến của cơ quan tài chính cùng cấp, cơ quan quản lý cấp trên trình Ủy ban nhân dân các cấp (</w:t>
      </w:r>
      <w:r w:rsidRPr="0016165D">
        <w:rPr>
          <w:b/>
          <w:i/>
          <w:color w:val="000000"/>
          <w:sz w:val="28"/>
          <w:szCs w:val="28"/>
        </w:rPr>
        <w:t>hoặc cơ quan được phân cấp</w:t>
      </w:r>
      <w:r w:rsidRPr="0016165D">
        <w:rPr>
          <w:i/>
          <w:color w:val="000000"/>
          <w:sz w:val="28"/>
          <w:szCs w:val="28"/>
        </w:rPr>
        <w:t>) quyết định giao quyền tự chủ cho các đơn vị trực thuộc …”</w:t>
      </w:r>
    </w:p>
    <w:p w:rsidR="00B74F3D" w:rsidRPr="0016165D" w:rsidRDefault="00B74F3D" w:rsidP="008A23B9">
      <w:pPr>
        <w:spacing w:before="60" w:after="60"/>
        <w:ind w:firstLine="567"/>
        <w:jc w:val="both"/>
        <w:rPr>
          <w:color w:val="000000"/>
          <w:sz w:val="28"/>
          <w:szCs w:val="28"/>
        </w:rPr>
      </w:pPr>
      <w:r w:rsidRPr="0016165D">
        <w:rPr>
          <w:color w:val="000000"/>
          <w:sz w:val="28"/>
          <w:szCs w:val="28"/>
        </w:rPr>
        <w:t xml:space="preserve">- Hiện nay, Ủy ban nhân dân tỉnh </w:t>
      </w:r>
      <w:r w:rsidRPr="0016165D">
        <w:rPr>
          <w:b/>
          <w:color w:val="000000"/>
          <w:sz w:val="28"/>
          <w:szCs w:val="28"/>
        </w:rPr>
        <w:t>chưa quyết định phân cấp thẩm quyền quyết định giao quyền tự chủ cho các đơn vị sự nghiệp công lập</w:t>
      </w:r>
      <w:r w:rsidRPr="0016165D">
        <w:rPr>
          <w:color w:val="000000"/>
          <w:sz w:val="28"/>
          <w:szCs w:val="28"/>
        </w:rPr>
        <w:t xml:space="preserve"> theo quy định tại Thông tư số 56/2022/TT-BTC ngày 16/9/2022 của Bộ trưởng Bộ Tài chính </w:t>
      </w:r>
      <w:r w:rsidRPr="0016165D">
        <w:rPr>
          <w:i/>
          <w:color w:val="000000"/>
          <w:sz w:val="28"/>
          <w:szCs w:val="28"/>
        </w:rPr>
        <w:t xml:space="preserve">(Quyết định số 38/2019/QĐ-UBND ngày 22/11/2019 của Ủy ban nhân dân tỉnh về phân cấp thẩm quyền quyết định giao quyền tự chủ tài chính cho đơn vị sự nghiệp công lập thuộc tỉnh Gia Lai quản lý </w:t>
      </w:r>
      <w:r w:rsidRPr="0016165D">
        <w:rPr>
          <w:b/>
          <w:i/>
          <w:color w:val="000000"/>
          <w:sz w:val="28"/>
          <w:szCs w:val="28"/>
        </w:rPr>
        <w:t>đã không còn phù hợp</w:t>
      </w:r>
      <w:r w:rsidRPr="0016165D">
        <w:rPr>
          <w:i/>
          <w:color w:val="000000"/>
          <w:sz w:val="28"/>
          <w:szCs w:val="28"/>
        </w:rPr>
        <w:t xml:space="preserve"> khi Nghị định số 16/2015/NĐ-CP ngày 14/02/2015 của Chính phủ quy định cơ chế tự chủ của đơn vị sự nghiệp công lập, Thông tư số 145/2017/TT-BTC ngày 29/12/2017 của Bộ trưởng Bộ Tài chính hướng dẫn cơ chế tài chính của đơn vị sự nghiệp công lập theo Nghị định số 141/2016/NĐ-CP ngày 10 tháng 10 năm 2016 của Chính Phủ hết hiệu lực thi hành từ ngày 15/8/2021)</w:t>
      </w:r>
      <w:r w:rsidRPr="0016165D">
        <w:rPr>
          <w:color w:val="000000"/>
          <w:sz w:val="28"/>
          <w:szCs w:val="28"/>
        </w:rPr>
        <w:t>.</w:t>
      </w:r>
    </w:p>
    <w:p w:rsidR="00175E4C" w:rsidRPr="0016165D" w:rsidRDefault="00175E4C" w:rsidP="008A23B9">
      <w:pPr>
        <w:spacing w:before="60" w:after="60"/>
        <w:ind w:firstLine="567"/>
        <w:jc w:val="both"/>
        <w:rPr>
          <w:color w:val="000000"/>
          <w:sz w:val="28"/>
          <w:szCs w:val="28"/>
        </w:rPr>
      </w:pPr>
      <w:r w:rsidRPr="0016165D">
        <w:rPr>
          <w:color w:val="000000"/>
          <w:sz w:val="28"/>
          <w:szCs w:val="28"/>
        </w:rPr>
        <w:t xml:space="preserve">Do đó, để các Sở, ban, ngành chủ động trong việc </w:t>
      </w:r>
      <w:r w:rsidRPr="0016165D">
        <w:rPr>
          <w:bCs/>
          <w:color w:val="000000"/>
          <w:spacing w:val="-2"/>
          <w:sz w:val="28"/>
          <w:szCs w:val="28"/>
        </w:rPr>
        <w:t xml:space="preserve">giao quyền tự chủ tài chính cho các đơn vị sự nghiệp công lập trực thuộc, Sở Tài chính kính đề xuất UBND tỉnh </w:t>
      </w:r>
      <w:r w:rsidR="00E7125E">
        <w:rPr>
          <w:bCs/>
          <w:color w:val="000000"/>
          <w:spacing w:val="-2"/>
          <w:sz w:val="28"/>
          <w:szCs w:val="28"/>
        </w:rPr>
        <w:t>ban hành Quyết định</w:t>
      </w:r>
      <w:r w:rsidRPr="0016165D">
        <w:rPr>
          <w:bCs/>
          <w:color w:val="000000"/>
          <w:spacing w:val="-2"/>
          <w:sz w:val="28"/>
          <w:szCs w:val="28"/>
        </w:rPr>
        <w:t xml:space="preserve"> quy định phân cấp cho các cơ quan chủ quản quyết định giao quyền tự chủ tài chính cho các đơn vị sự nghiệp công lập trực thuộc </w:t>
      </w:r>
      <w:r w:rsidRPr="0016165D">
        <w:rPr>
          <w:color w:val="000000"/>
          <w:sz w:val="28"/>
          <w:szCs w:val="28"/>
        </w:rPr>
        <w:t>theo quy định tại Thông tư số 56/2022/TT-BTC ngày 16/9/2022 của Bộ trưởng Bộ Tài chính thay thế cho Quyết định số 38/2019/QĐ-UBND ngày 22/11/2019 của Ủy ban nhân dân tỉnh do không còn phù hợp.</w:t>
      </w:r>
    </w:p>
    <w:p w:rsidR="00A4741C" w:rsidRPr="0016165D" w:rsidRDefault="00A4741C" w:rsidP="008A23B9">
      <w:pPr>
        <w:spacing w:before="60" w:after="60"/>
        <w:ind w:firstLine="567"/>
        <w:jc w:val="both"/>
        <w:rPr>
          <w:b/>
          <w:sz w:val="28"/>
          <w:szCs w:val="28"/>
        </w:rPr>
      </w:pPr>
      <w:r w:rsidRPr="0016165D">
        <w:rPr>
          <w:b/>
          <w:sz w:val="28"/>
          <w:szCs w:val="28"/>
        </w:rPr>
        <w:t>II. MỤC</w:t>
      </w:r>
      <w:r w:rsidR="00592296" w:rsidRPr="0016165D">
        <w:rPr>
          <w:b/>
          <w:sz w:val="28"/>
          <w:szCs w:val="28"/>
        </w:rPr>
        <w:t xml:space="preserve"> ĐÍCH, QUAN ĐIỂM XÂY DỰN </w:t>
      </w:r>
      <w:r w:rsidRPr="0016165D">
        <w:rPr>
          <w:b/>
          <w:sz w:val="28"/>
          <w:szCs w:val="28"/>
        </w:rPr>
        <w:t xml:space="preserve">DỰ THẢO </w:t>
      </w:r>
      <w:r w:rsidR="00667AE5" w:rsidRPr="0016165D">
        <w:rPr>
          <w:b/>
          <w:sz w:val="28"/>
          <w:szCs w:val="28"/>
        </w:rPr>
        <w:t>QUYẾT ĐỊNH.</w:t>
      </w:r>
    </w:p>
    <w:p w:rsidR="00A4741C" w:rsidRPr="0016165D" w:rsidRDefault="00A4741C" w:rsidP="008A23B9">
      <w:pPr>
        <w:spacing w:before="60" w:after="60"/>
        <w:ind w:firstLine="567"/>
        <w:jc w:val="both"/>
        <w:rPr>
          <w:b/>
          <w:sz w:val="28"/>
          <w:szCs w:val="28"/>
        </w:rPr>
      </w:pPr>
      <w:r w:rsidRPr="0016165D">
        <w:rPr>
          <w:b/>
          <w:sz w:val="28"/>
          <w:szCs w:val="28"/>
        </w:rPr>
        <w:t>1. Mục đích</w:t>
      </w:r>
    </w:p>
    <w:p w:rsidR="008B08EB" w:rsidRPr="0016165D" w:rsidRDefault="008B08EB" w:rsidP="008A23B9">
      <w:pPr>
        <w:pStyle w:val="BodyText"/>
        <w:spacing w:before="60" w:after="60"/>
        <w:ind w:left="0" w:firstLine="567"/>
        <w:rPr>
          <w:sz w:val="28"/>
          <w:szCs w:val="28"/>
        </w:rPr>
      </w:pPr>
      <w:r w:rsidRPr="0016165D">
        <w:rPr>
          <w:sz w:val="28"/>
          <w:szCs w:val="28"/>
        </w:rPr>
        <w:t>Quyết định này quy định về phân cấp</w:t>
      </w:r>
      <w:r w:rsidR="00AC3756" w:rsidRPr="007F05E8">
        <w:rPr>
          <w:sz w:val="28"/>
          <w:szCs w:val="28"/>
        </w:rPr>
        <w:t xml:space="preserve"> cho các cơ quan chủ quản quyết định giao quyền tự chủ tài chính cho đơn vị sự nghiệp công lập trực thuộc</w:t>
      </w:r>
      <w:r w:rsidR="00857A87">
        <w:rPr>
          <w:sz w:val="28"/>
          <w:szCs w:val="28"/>
        </w:rPr>
        <w:t>.</w:t>
      </w:r>
    </w:p>
    <w:p w:rsidR="00A4741C" w:rsidRPr="0016165D" w:rsidRDefault="006B6BA5" w:rsidP="008A23B9">
      <w:pPr>
        <w:spacing w:before="60" w:after="60"/>
        <w:ind w:firstLine="567"/>
        <w:jc w:val="both"/>
        <w:rPr>
          <w:b/>
          <w:sz w:val="28"/>
          <w:szCs w:val="28"/>
        </w:rPr>
      </w:pPr>
      <w:r w:rsidRPr="0016165D">
        <w:rPr>
          <w:b/>
          <w:sz w:val="28"/>
          <w:szCs w:val="28"/>
        </w:rPr>
        <w:t xml:space="preserve">2. Quan điểm xây dựng </w:t>
      </w:r>
      <w:r w:rsidR="00A4741C" w:rsidRPr="0016165D">
        <w:rPr>
          <w:b/>
          <w:sz w:val="28"/>
          <w:szCs w:val="28"/>
        </w:rPr>
        <w:t xml:space="preserve">dự thảo </w:t>
      </w:r>
      <w:r w:rsidR="00667AE5" w:rsidRPr="0016165D">
        <w:rPr>
          <w:b/>
          <w:sz w:val="28"/>
          <w:szCs w:val="28"/>
        </w:rPr>
        <w:t>quyết định.</w:t>
      </w:r>
    </w:p>
    <w:p w:rsidR="006B6BA5" w:rsidRPr="0016165D" w:rsidRDefault="006B6BA5" w:rsidP="008A23B9">
      <w:pPr>
        <w:pStyle w:val="BodyText"/>
        <w:spacing w:before="60" w:after="60"/>
        <w:ind w:left="0" w:firstLine="567"/>
        <w:rPr>
          <w:sz w:val="28"/>
          <w:szCs w:val="28"/>
        </w:rPr>
      </w:pPr>
      <w:r w:rsidRPr="0016165D">
        <w:rPr>
          <w:sz w:val="28"/>
          <w:szCs w:val="28"/>
        </w:rPr>
        <w:t>Bảo đảm tuân thủ, phù hợp với các quy định của pháp luật và phù hợp với tình hình thực tế tại địa phương.</w:t>
      </w:r>
    </w:p>
    <w:p w:rsidR="00A4741C" w:rsidRPr="0016165D" w:rsidRDefault="00A4741C" w:rsidP="008A23B9">
      <w:pPr>
        <w:spacing w:before="60" w:after="60"/>
        <w:ind w:firstLine="567"/>
        <w:jc w:val="both"/>
        <w:rPr>
          <w:b/>
          <w:sz w:val="28"/>
          <w:szCs w:val="28"/>
        </w:rPr>
      </w:pPr>
      <w:r w:rsidRPr="0016165D">
        <w:rPr>
          <w:b/>
          <w:sz w:val="28"/>
          <w:szCs w:val="28"/>
        </w:rPr>
        <w:t xml:space="preserve">III. QUÁ TRÌNH XÂY DỰNG </w:t>
      </w:r>
      <w:r w:rsidR="00667AE5" w:rsidRPr="0016165D">
        <w:rPr>
          <w:b/>
          <w:sz w:val="28"/>
          <w:szCs w:val="28"/>
        </w:rPr>
        <w:t>QUYẾT ĐỊNH.</w:t>
      </w:r>
    </w:p>
    <w:p w:rsidR="00AA1B30" w:rsidRPr="0016165D" w:rsidRDefault="00AA1B30" w:rsidP="008A23B9">
      <w:pPr>
        <w:spacing w:before="60" w:after="60"/>
        <w:ind w:firstLine="567"/>
        <w:jc w:val="both"/>
        <w:rPr>
          <w:iCs/>
          <w:sz w:val="28"/>
          <w:szCs w:val="28"/>
        </w:rPr>
      </w:pPr>
      <w:r w:rsidRPr="0016165D">
        <w:rPr>
          <w:bCs/>
          <w:sz w:val="28"/>
          <w:szCs w:val="28"/>
        </w:rPr>
        <w:t>Thực hiện đúng trình tự, thủ tục xây dựng văn bản quy phạm pháp luật quy định tại Luật Ban hành văn bản quy phạm pháp luật năm 2015, Nghị định</w:t>
      </w:r>
      <w:r w:rsidRPr="0016165D">
        <w:rPr>
          <w:iCs/>
          <w:sz w:val="28"/>
          <w:szCs w:val="28"/>
        </w:rPr>
        <w:t xml:space="preserve"> số 34/2016/NĐ-CP ngày 14/5/2016 của Chính phủ quy định chi tiết một số điều và biện pháp thi hành Luật Ban hành văn bản quy phạp pháp luật; </w:t>
      </w:r>
      <w:r w:rsidRPr="0016165D">
        <w:rPr>
          <w:sz w:val="28"/>
          <w:szCs w:val="28"/>
        </w:rPr>
        <w:t>Luật Sửa đổi, bổ sung một số điều của Luật Ban hành văn bản quy phạm pháp luật năm 2020;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Pr="0016165D">
        <w:rPr>
          <w:i/>
          <w:sz w:val="28"/>
          <w:szCs w:val="28"/>
        </w:rPr>
        <w:t xml:space="preserve"> </w:t>
      </w:r>
      <w:r w:rsidR="005A4FEF" w:rsidRPr="0016165D">
        <w:rPr>
          <w:iCs/>
          <w:sz w:val="28"/>
          <w:szCs w:val="28"/>
        </w:rPr>
        <w:t>Quyết định số 27/2021/QĐ-UBND ngày 20/11/2021</w:t>
      </w:r>
      <w:r w:rsidRPr="0016165D">
        <w:rPr>
          <w:iCs/>
          <w:sz w:val="28"/>
          <w:szCs w:val="28"/>
        </w:rPr>
        <w:t xml:space="preserve"> của Ủy ban nhân dân tỉnh Gia Lai ban hành </w:t>
      </w:r>
      <w:r w:rsidR="005A4FEF" w:rsidRPr="0016165D">
        <w:rPr>
          <w:iCs/>
          <w:sz w:val="28"/>
          <w:szCs w:val="28"/>
        </w:rPr>
        <w:t>quy định một số nội dung thực hiện trong công tác xây dựng, kiểm tra, rà soát, hệ thống hóa văn bản quy phạm pháp luật của Hội đồng nhân dân tỉnh, Ủy ban nhân dân tỉnh Gia Lai.</w:t>
      </w:r>
    </w:p>
    <w:p w:rsidR="00AA1B30" w:rsidRPr="0016165D" w:rsidRDefault="00AA1B30" w:rsidP="008A23B9">
      <w:pPr>
        <w:pStyle w:val="NormalWeb"/>
        <w:spacing w:before="60" w:beforeAutospacing="0" w:after="60" w:afterAutospacing="0"/>
        <w:ind w:firstLine="567"/>
        <w:jc w:val="both"/>
        <w:rPr>
          <w:bCs/>
          <w:sz w:val="28"/>
          <w:szCs w:val="28"/>
        </w:rPr>
      </w:pPr>
      <w:r w:rsidRPr="0016165D">
        <w:rPr>
          <w:bCs/>
          <w:sz w:val="28"/>
          <w:szCs w:val="28"/>
        </w:rPr>
        <w:t xml:space="preserve">Sở Tài chính được phân công chủ trì, phối hợp với các Sở, ban, ngành, </w:t>
      </w:r>
      <w:r w:rsidR="005A4FEF" w:rsidRPr="0016165D">
        <w:rPr>
          <w:bCs/>
          <w:sz w:val="28"/>
          <w:szCs w:val="28"/>
          <w:lang w:val="en-US"/>
        </w:rPr>
        <w:t>đơn vị</w:t>
      </w:r>
      <w:r w:rsidR="00CC345B">
        <w:rPr>
          <w:bCs/>
          <w:sz w:val="28"/>
          <w:szCs w:val="28"/>
        </w:rPr>
        <w:t xml:space="preserve"> </w:t>
      </w:r>
      <w:r w:rsidR="005A4FEF" w:rsidRPr="0016165D">
        <w:rPr>
          <w:bCs/>
          <w:sz w:val="28"/>
          <w:szCs w:val="28"/>
          <w:lang w:val="en-US"/>
        </w:rPr>
        <w:t>có liên quan</w:t>
      </w:r>
      <w:r w:rsidRPr="0016165D">
        <w:rPr>
          <w:bCs/>
          <w:sz w:val="28"/>
          <w:szCs w:val="28"/>
        </w:rPr>
        <w:t xml:space="preserve"> </w:t>
      </w:r>
      <w:r w:rsidR="005A4FEF" w:rsidRPr="0016165D">
        <w:rPr>
          <w:bCs/>
          <w:sz w:val="28"/>
          <w:szCs w:val="28"/>
          <w:lang w:val="en-US"/>
        </w:rPr>
        <w:t>hoàn chỉnh hồ s</w:t>
      </w:r>
      <w:r w:rsidR="00CC345B">
        <w:rPr>
          <w:bCs/>
          <w:sz w:val="28"/>
          <w:szCs w:val="28"/>
          <w:lang w:val="en-US"/>
        </w:rPr>
        <w:t>ơ</w:t>
      </w:r>
      <w:bookmarkStart w:id="0" w:name="_GoBack"/>
      <w:bookmarkEnd w:id="0"/>
      <w:r w:rsidR="005A4FEF" w:rsidRPr="0016165D">
        <w:rPr>
          <w:bCs/>
          <w:sz w:val="28"/>
          <w:szCs w:val="28"/>
          <w:lang w:val="en-US"/>
        </w:rPr>
        <w:t>, trình UBND tỉnh xem xét, quyết định</w:t>
      </w:r>
      <w:r w:rsidRPr="0016165D">
        <w:rPr>
          <w:bCs/>
          <w:sz w:val="28"/>
          <w:szCs w:val="28"/>
        </w:rPr>
        <w:t xml:space="preserve">. Dự thảo </w:t>
      </w:r>
      <w:r w:rsidR="00C432C7" w:rsidRPr="0016165D">
        <w:rPr>
          <w:bCs/>
          <w:sz w:val="28"/>
          <w:szCs w:val="28"/>
          <w:lang w:val="en-US"/>
        </w:rPr>
        <w:t>Quyết định</w:t>
      </w:r>
      <w:r w:rsidRPr="0016165D">
        <w:rPr>
          <w:bCs/>
          <w:sz w:val="28"/>
          <w:szCs w:val="28"/>
        </w:rPr>
        <w:t xml:space="preserve"> đã được các sở, ban, ngành, </w:t>
      </w:r>
      <w:r w:rsidR="00C432C7" w:rsidRPr="0016165D">
        <w:rPr>
          <w:bCs/>
          <w:sz w:val="28"/>
          <w:szCs w:val="28"/>
          <w:lang w:val="en-US"/>
        </w:rPr>
        <w:t xml:space="preserve">đơn vị có liên quan </w:t>
      </w:r>
      <w:r w:rsidRPr="0016165D">
        <w:rPr>
          <w:bCs/>
          <w:sz w:val="28"/>
          <w:szCs w:val="28"/>
        </w:rPr>
        <w:t>tham gia góp ý và được Sở Tư pháp thẩm định.</w:t>
      </w:r>
    </w:p>
    <w:p w:rsidR="00A4741C" w:rsidRPr="0016165D" w:rsidRDefault="00A4741C" w:rsidP="008A23B9">
      <w:pPr>
        <w:spacing w:before="60" w:after="60"/>
        <w:ind w:firstLine="567"/>
        <w:jc w:val="both"/>
        <w:rPr>
          <w:b/>
          <w:sz w:val="28"/>
          <w:szCs w:val="28"/>
        </w:rPr>
      </w:pPr>
      <w:r w:rsidRPr="0016165D">
        <w:rPr>
          <w:b/>
          <w:sz w:val="28"/>
          <w:szCs w:val="28"/>
        </w:rPr>
        <w:t xml:space="preserve">IV. BỐ CỤC VÀ NỘI DUNG CƠ BẢN CỦA </w:t>
      </w:r>
      <w:r w:rsidR="00667AE5" w:rsidRPr="0016165D">
        <w:rPr>
          <w:b/>
          <w:sz w:val="28"/>
          <w:szCs w:val="28"/>
        </w:rPr>
        <w:t>QUYẾT ĐỊNH.</w:t>
      </w:r>
    </w:p>
    <w:p w:rsidR="00A4741C" w:rsidRPr="0016165D" w:rsidRDefault="00A4741C" w:rsidP="008A23B9">
      <w:pPr>
        <w:spacing w:before="60" w:after="60"/>
        <w:ind w:firstLine="567"/>
        <w:jc w:val="both"/>
        <w:rPr>
          <w:b/>
          <w:color w:val="FF0000"/>
          <w:sz w:val="28"/>
          <w:szCs w:val="28"/>
        </w:rPr>
      </w:pPr>
      <w:r w:rsidRPr="0016165D">
        <w:rPr>
          <w:b/>
          <w:sz w:val="28"/>
          <w:szCs w:val="28"/>
        </w:rPr>
        <w:t>1. Bố cục</w:t>
      </w:r>
      <w:r w:rsidR="0008337A" w:rsidRPr="0016165D">
        <w:rPr>
          <w:b/>
          <w:sz w:val="28"/>
          <w:szCs w:val="28"/>
        </w:rPr>
        <w:t xml:space="preserve">: </w:t>
      </w:r>
      <w:r w:rsidR="0008337A" w:rsidRPr="0016165D">
        <w:rPr>
          <w:sz w:val="28"/>
          <w:szCs w:val="28"/>
        </w:rPr>
        <w:t xml:space="preserve">Dự thảo Quyết định gồm </w:t>
      </w:r>
      <w:r w:rsidR="008C1821" w:rsidRPr="008C1821">
        <w:rPr>
          <w:color w:val="000000" w:themeColor="text1"/>
          <w:sz w:val="28"/>
          <w:szCs w:val="28"/>
        </w:rPr>
        <w:t>04</w:t>
      </w:r>
      <w:r w:rsidR="0008337A" w:rsidRPr="008C1821">
        <w:rPr>
          <w:color w:val="000000" w:themeColor="text1"/>
          <w:sz w:val="28"/>
          <w:szCs w:val="28"/>
        </w:rPr>
        <w:t xml:space="preserve"> Điều.</w:t>
      </w:r>
    </w:p>
    <w:p w:rsidR="00A4741C" w:rsidRPr="0016165D" w:rsidRDefault="00A4741C" w:rsidP="008A23B9">
      <w:pPr>
        <w:spacing w:before="60" w:after="60"/>
        <w:ind w:firstLine="567"/>
        <w:jc w:val="both"/>
        <w:rPr>
          <w:b/>
          <w:sz w:val="28"/>
          <w:szCs w:val="28"/>
        </w:rPr>
      </w:pPr>
      <w:r w:rsidRPr="0016165D">
        <w:rPr>
          <w:b/>
          <w:sz w:val="28"/>
          <w:szCs w:val="28"/>
        </w:rPr>
        <w:t xml:space="preserve">2. Nội dung cơ bản của dự thảo </w:t>
      </w:r>
      <w:r w:rsidR="00667AE5" w:rsidRPr="0016165D">
        <w:rPr>
          <w:b/>
          <w:sz w:val="28"/>
          <w:szCs w:val="28"/>
        </w:rPr>
        <w:t>quyết định.</w:t>
      </w:r>
    </w:p>
    <w:p w:rsidR="00900024" w:rsidRPr="003E108A" w:rsidRDefault="00900024" w:rsidP="008A23B9">
      <w:pPr>
        <w:spacing w:before="60" w:after="60"/>
        <w:ind w:firstLine="567"/>
        <w:jc w:val="both"/>
        <w:rPr>
          <w:sz w:val="28"/>
          <w:szCs w:val="28"/>
        </w:rPr>
      </w:pPr>
      <w:r w:rsidRPr="003E108A">
        <w:rPr>
          <w:bCs/>
          <w:sz w:val="28"/>
          <w:szCs w:val="28"/>
          <w:lang w:val="vi-VN"/>
        </w:rPr>
        <w:t>Điều 1.</w:t>
      </w:r>
      <w:r w:rsidRPr="003E108A">
        <w:rPr>
          <w:sz w:val="28"/>
          <w:szCs w:val="28"/>
          <w:lang w:val="vi-VN"/>
        </w:rPr>
        <w:t xml:space="preserve"> </w:t>
      </w:r>
      <w:r w:rsidRPr="003E108A">
        <w:rPr>
          <w:sz w:val="28"/>
          <w:szCs w:val="28"/>
        </w:rPr>
        <w:t>Phạm vi điều chỉnh</w:t>
      </w:r>
    </w:p>
    <w:p w:rsidR="00900024" w:rsidRPr="0016165D" w:rsidRDefault="00900024" w:rsidP="008A23B9">
      <w:pPr>
        <w:spacing w:before="60" w:after="60"/>
        <w:ind w:firstLine="567"/>
        <w:jc w:val="both"/>
        <w:rPr>
          <w:sz w:val="28"/>
          <w:szCs w:val="28"/>
          <w:lang w:val="vi-VN"/>
        </w:rPr>
      </w:pPr>
      <w:r w:rsidRPr="0016165D">
        <w:rPr>
          <w:sz w:val="28"/>
          <w:szCs w:val="28"/>
          <w:lang w:val="vi-VN"/>
        </w:rPr>
        <w:t xml:space="preserve">Quyết định </w:t>
      </w:r>
      <w:r w:rsidRPr="0016165D">
        <w:rPr>
          <w:sz w:val="28"/>
          <w:szCs w:val="28"/>
        </w:rPr>
        <w:t xml:space="preserve">này </w:t>
      </w:r>
      <w:r w:rsidRPr="0016165D">
        <w:rPr>
          <w:sz w:val="28"/>
          <w:szCs w:val="28"/>
          <w:lang w:val="vi-VN"/>
        </w:rPr>
        <w:t xml:space="preserve">quy định về phân cấp </w:t>
      </w:r>
      <w:r w:rsidRPr="0016165D">
        <w:rPr>
          <w:sz w:val="28"/>
          <w:szCs w:val="28"/>
        </w:rPr>
        <w:t>thẩm quyền quyết định</w:t>
      </w:r>
      <w:r w:rsidRPr="0016165D">
        <w:rPr>
          <w:sz w:val="28"/>
          <w:szCs w:val="28"/>
          <w:lang w:val="vi-VN"/>
        </w:rPr>
        <w:t xml:space="preserve"> giao quyền tự chủ tài chính cho đơn vị sự nghiệp công lập.</w:t>
      </w:r>
    </w:p>
    <w:p w:rsidR="00900024" w:rsidRPr="003E108A" w:rsidRDefault="00900024" w:rsidP="008A23B9">
      <w:pPr>
        <w:spacing w:before="60" w:after="60"/>
        <w:ind w:firstLine="567"/>
        <w:jc w:val="both"/>
        <w:rPr>
          <w:sz w:val="28"/>
          <w:szCs w:val="28"/>
        </w:rPr>
      </w:pPr>
      <w:r w:rsidRPr="003E108A">
        <w:rPr>
          <w:bCs/>
          <w:sz w:val="28"/>
          <w:szCs w:val="28"/>
          <w:lang w:val="vi-VN"/>
        </w:rPr>
        <w:t>Điều 2.</w:t>
      </w:r>
      <w:r w:rsidRPr="003E108A">
        <w:rPr>
          <w:sz w:val="28"/>
          <w:szCs w:val="28"/>
          <w:lang w:val="vi-VN"/>
        </w:rPr>
        <w:t xml:space="preserve"> </w:t>
      </w:r>
      <w:r w:rsidRPr="003E108A">
        <w:rPr>
          <w:sz w:val="28"/>
          <w:szCs w:val="28"/>
        </w:rPr>
        <w:t>Đối tượng áp dụng</w:t>
      </w:r>
    </w:p>
    <w:p w:rsidR="00900024" w:rsidRPr="0016165D" w:rsidRDefault="00900024" w:rsidP="008A23B9">
      <w:pPr>
        <w:spacing w:before="60" w:after="60"/>
        <w:ind w:firstLine="567"/>
        <w:jc w:val="both"/>
        <w:rPr>
          <w:sz w:val="28"/>
          <w:szCs w:val="28"/>
        </w:rPr>
      </w:pPr>
      <w:r w:rsidRPr="0016165D">
        <w:rPr>
          <w:sz w:val="28"/>
          <w:szCs w:val="28"/>
        </w:rPr>
        <w:t>1. Cơ quan chuyên môn thuộc Ủy ban nhân dân tỉnh, Ban quản lý Khu kinh tế tỉnh, Tỉnh đoàn (sau đây gọi là cơ quan chủ quản) có đơn vị sự nghiệp công lập trực thuộc.</w:t>
      </w:r>
    </w:p>
    <w:p w:rsidR="00900024" w:rsidRPr="0016165D" w:rsidRDefault="00900024" w:rsidP="008A23B9">
      <w:pPr>
        <w:spacing w:before="60" w:after="60"/>
        <w:ind w:firstLine="567"/>
        <w:jc w:val="both"/>
        <w:rPr>
          <w:sz w:val="28"/>
          <w:szCs w:val="28"/>
        </w:rPr>
      </w:pPr>
      <w:r w:rsidRPr="0016165D">
        <w:rPr>
          <w:sz w:val="28"/>
          <w:szCs w:val="28"/>
        </w:rPr>
        <w:t>2. Cơ quan, cá nhân khác có liên quan.</w:t>
      </w:r>
    </w:p>
    <w:p w:rsidR="00900024" w:rsidRPr="003E108A" w:rsidRDefault="00900024" w:rsidP="008A23B9">
      <w:pPr>
        <w:spacing w:before="60" w:after="60"/>
        <w:ind w:firstLine="567"/>
        <w:jc w:val="both"/>
        <w:rPr>
          <w:sz w:val="28"/>
          <w:szCs w:val="28"/>
        </w:rPr>
      </w:pPr>
      <w:r w:rsidRPr="003E108A">
        <w:rPr>
          <w:sz w:val="28"/>
          <w:szCs w:val="28"/>
        </w:rPr>
        <w:t>Điều 3. Phân cấp thẩm quyền quyết định giao quyền tự chủ tài chính cho các đơn vị sự nghiệp công lập</w:t>
      </w:r>
    </w:p>
    <w:p w:rsidR="00900024" w:rsidRPr="0016165D" w:rsidRDefault="00900024" w:rsidP="008A23B9">
      <w:pPr>
        <w:spacing w:before="60" w:after="60"/>
        <w:ind w:firstLine="567"/>
        <w:jc w:val="both"/>
        <w:rPr>
          <w:color w:val="FF0000"/>
          <w:sz w:val="28"/>
          <w:szCs w:val="28"/>
        </w:rPr>
      </w:pPr>
      <w:r w:rsidRPr="0016165D">
        <w:rPr>
          <w:sz w:val="28"/>
          <w:szCs w:val="28"/>
        </w:rPr>
        <w:t xml:space="preserve">1. </w:t>
      </w:r>
      <w:r w:rsidRPr="0016165D">
        <w:rPr>
          <w:sz w:val="28"/>
          <w:szCs w:val="28"/>
          <w:lang w:val="vi-VN"/>
        </w:rPr>
        <w:t xml:space="preserve">Cơ quan chủ quản </w:t>
      </w:r>
      <w:r w:rsidRPr="0016165D">
        <w:rPr>
          <w:sz w:val="28"/>
          <w:szCs w:val="28"/>
        </w:rPr>
        <w:t>quyết định</w:t>
      </w:r>
      <w:r w:rsidRPr="0016165D">
        <w:rPr>
          <w:sz w:val="28"/>
          <w:szCs w:val="28"/>
          <w:lang w:val="vi-VN"/>
        </w:rPr>
        <w:t xml:space="preserve"> giao quyền tự chủ tài chính cho các đơn vị sự nghiệp công lập trực thuộc </w:t>
      </w:r>
      <w:r w:rsidRPr="0016165D">
        <w:rPr>
          <w:sz w:val="28"/>
          <w:szCs w:val="28"/>
        </w:rPr>
        <w:t>trong phạm vi quản lý của cơ quan, đơn vị sau khi có ý kiến bằng văn bản của Sở Tài chính về việc phân loại đơn vị theo mức tự chủ tài chính; kinh phí chi thường xuyên giao tự chủ từ nguồn ngân sách nhà nước và từ nguồn thu phí được để lại chi (nếu có)</w:t>
      </w:r>
      <w:r w:rsidRPr="0016165D">
        <w:rPr>
          <w:color w:val="FF0000"/>
          <w:sz w:val="28"/>
          <w:szCs w:val="28"/>
        </w:rPr>
        <w:t>.</w:t>
      </w:r>
    </w:p>
    <w:p w:rsidR="00900024" w:rsidRPr="0016165D" w:rsidRDefault="00900024" w:rsidP="008A23B9">
      <w:pPr>
        <w:spacing w:before="60" w:after="60"/>
        <w:ind w:firstLine="567"/>
        <w:jc w:val="both"/>
        <w:rPr>
          <w:sz w:val="28"/>
          <w:szCs w:val="28"/>
        </w:rPr>
      </w:pPr>
      <w:r w:rsidRPr="0016165D">
        <w:rPr>
          <w:sz w:val="28"/>
          <w:szCs w:val="28"/>
        </w:rPr>
        <w:t xml:space="preserve">2. Cơ quan chủ quản có trách nhiệm báo cáo Ủy ban nhân dân tỉnh </w:t>
      </w:r>
      <w:r w:rsidRPr="0016165D">
        <w:rPr>
          <w:i/>
          <w:sz w:val="28"/>
          <w:szCs w:val="28"/>
        </w:rPr>
        <w:t>(thông qua Sở Tài chính và Sở Nội vụ)</w:t>
      </w:r>
      <w:r w:rsidRPr="0016165D">
        <w:rPr>
          <w:sz w:val="28"/>
          <w:szCs w:val="28"/>
        </w:rPr>
        <w:t xml:space="preserve"> việc thực hiện giao quyền tự chủ tài chính cho đơn vị sự nghiệp công lập thuộc phạm vi quản lý của cơ quan, đơn vị.</w:t>
      </w:r>
    </w:p>
    <w:p w:rsidR="00900024" w:rsidRPr="003E108A" w:rsidRDefault="00900024" w:rsidP="008A23B9">
      <w:pPr>
        <w:spacing w:before="60" w:after="60"/>
        <w:ind w:firstLine="567"/>
        <w:jc w:val="both"/>
        <w:rPr>
          <w:sz w:val="28"/>
          <w:szCs w:val="28"/>
        </w:rPr>
      </w:pPr>
      <w:r w:rsidRPr="003E108A">
        <w:rPr>
          <w:bCs/>
          <w:sz w:val="28"/>
          <w:szCs w:val="28"/>
          <w:lang w:val="vi-VN"/>
        </w:rPr>
        <w:t>Điều 4.</w:t>
      </w:r>
      <w:r w:rsidRPr="003E108A">
        <w:rPr>
          <w:sz w:val="28"/>
          <w:szCs w:val="28"/>
          <w:lang w:val="vi-VN"/>
        </w:rPr>
        <w:t xml:space="preserve"> Hiệu lực thi hành</w:t>
      </w:r>
    </w:p>
    <w:p w:rsidR="00937B8C" w:rsidRPr="0016165D" w:rsidRDefault="00937B8C" w:rsidP="008A23B9">
      <w:pPr>
        <w:pStyle w:val="Heading1"/>
        <w:spacing w:before="60" w:after="60"/>
        <w:ind w:left="0" w:firstLine="567"/>
        <w:jc w:val="both"/>
        <w:rPr>
          <w:sz w:val="28"/>
          <w:szCs w:val="28"/>
        </w:rPr>
      </w:pPr>
      <w:r w:rsidRPr="0016165D">
        <w:rPr>
          <w:sz w:val="28"/>
          <w:szCs w:val="28"/>
          <w:lang w:val="en-US"/>
        </w:rPr>
        <w:t>V.</w:t>
      </w:r>
      <w:r w:rsidR="003E108A">
        <w:rPr>
          <w:sz w:val="28"/>
          <w:szCs w:val="28"/>
          <w:lang w:val="en-US"/>
        </w:rPr>
        <w:t xml:space="preserve"> </w:t>
      </w:r>
      <w:r w:rsidRPr="0016165D">
        <w:rPr>
          <w:sz w:val="28"/>
          <w:szCs w:val="28"/>
        </w:rPr>
        <w:t>DỰ KIẾN NGUỒN LỰC, ĐIỀU KIỆN ĐẢM BẢO THI HÀNH QUYẾT ĐỊNH</w:t>
      </w:r>
    </w:p>
    <w:p w:rsidR="00937B8C" w:rsidRPr="0016165D" w:rsidRDefault="00937B8C" w:rsidP="008A23B9">
      <w:pPr>
        <w:spacing w:before="60" w:after="60"/>
        <w:ind w:firstLine="567"/>
        <w:jc w:val="both"/>
        <w:rPr>
          <w:sz w:val="28"/>
          <w:szCs w:val="28"/>
        </w:rPr>
      </w:pPr>
      <w:r w:rsidRPr="0016165D">
        <w:rPr>
          <w:sz w:val="28"/>
          <w:szCs w:val="28"/>
        </w:rPr>
        <w:t xml:space="preserve">Sau khi ban hành Quyết định, trên thực tế việc thực hiện Quyết </w:t>
      </w:r>
      <w:r w:rsidR="0016165D" w:rsidRPr="0016165D">
        <w:rPr>
          <w:sz w:val="28"/>
          <w:szCs w:val="28"/>
        </w:rPr>
        <w:t>định của Ủy ban nhân dân tỉnh</w:t>
      </w:r>
      <w:r w:rsidRPr="0016165D">
        <w:rPr>
          <w:sz w:val="28"/>
          <w:szCs w:val="28"/>
        </w:rPr>
        <w:t xml:space="preserve"> </w:t>
      </w:r>
      <w:r w:rsidR="0016165D" w:rsidRPr="0016165D">
        <w:rPr>
          <w:sz w:val="28"/>
          <w:szCs w:val="28"/>
        </w:rPr>
        <w:t xml:space="preserve">quy định phân cấp cho các cơ quan chủ quản quyết định giao quyền tự chủ tài chính cho đơn vị sự nghiệp công lập trực thuộc </w:t>
      </w:r>
      <w:r w:rsidRPr="0016165D">
        <w:rPr>
          <w:sz w:val="28"/>
          <w:szCs w:val="28"/>
        </w:rPr>
        <w:t xml:space="preserve">không làm phát sinh </w:t>
      </w:r>
      <w:r w:rsidRPr="0016165D">
        <w:rPr>
          <w:spacing w:val="3"/>
          <w:sz w:val="28"/>
          <w:szCs w:val="28"/>
        </w:rPr>
        <w:t xml:space="preserve">về </w:t>
      </w:r>
      <w:r w:rsidRPr="0016165D">
        <w:rPr>
          <w:sz w:val="28"/>
          <w:szCs w:val="28"/>
        </w:rPr>
        <w:t>chi phí trong quá trình triển</w:t>
      </w:r>
      <w:r w:rsidRPr="0016165D">
        <w:rPr>
          <w:spacing w:val="-5"/>
          <w:sz w:val="28"/>
          <w:szCs w:val="28"/>
        </w:rPr>
        <w:t xml:space="preserve"> </w:t>
      </w:r>
      <w:r w:rsidRPr="0016165D">
        <w:rPr>
          <w:sz w:val="28"/>
          <w:szCs w:val="28"/>
        </w:rPr>
        <w:t>khai.</w:t>
      </w:r>
    </w:p>
    <w:p w:rsidR="00D7089A" w:rsidRDefault="0016165D" w:rsidP="008A23B9">
      <w:pPr>
        <w:spacing w:before="60" w:after="60"/>
        <w:ind w:firstLine="567"/>
        <w:jc w:val="both"/>
        <w:rPr>
          <w:sz w:val="28"/>
          <w:szCs w:val="28"/>
        </w:rPr>
      </w:pPr>
      <w:r w:rsidRPr="0016165D">
        <w:rPr>
          <w:sz w:val="28"/>
          <w:szCs w:val="28"/>
        </w:rPr>
        <w:t>Trên đây là Tờ trình dự thảo Quyết định quy định phân cấp cho các cơ quan chủ quản quyết định giao quyền tự chủ tài chính cho đơn vị sự nghiệp công lập trực thuộc, kính trình Ủy ban nhân dân tỉnh  xem xét, quyết định./.</w:t>
      </w:r>
    </w:p>
    <w:p w:rsidR="00A915E3" w:rsidRPr="0016165D" w:rsidRDefault="00A915E3" w:rsidP="008A23B9">
      <w:pPr>
        <w:spacing w:before="60" w:after="60"/>
        <w:ind w:firstLine="567"/>
        <w:jc w:val="both"/>
        <w:rPr>
          <w:iCs/>
          <w:sz w:val="28"/>
          <w:szCs w:val="28"/>
        </w:rPr>
      </w:pPr>
    </w:p>
    <w:tbl>
      <w:tblPr>
        <w:tblW w:w="9356" w:type="dxa"/>
        <w:tblLook w:val="01E0" w:firstRow="1" w:lastRow="1" w:firstColumn="1" w:lastColumn="1" w:noHBand="0" w:noVBand="0"/>
      </w:tblPr>
      <w:tblGrid>
        <w:gridCol w:w="4820"/>
        <w:gridCol w:w="4536"/>
      </w:tblGrid>
      <w:tr w:rsidR="00D7089A" w:rsidRPr="00263F5B" w:rsidTr="001D0771">
        <w:trPr>
          <w:trHeight w:val="1396"/>
        </w:trPr>
        <w:tc>
          <w:tcPr>
            <w:tcW w:w="4820" w:type="dxa"/>
          </w:tcPr>
          <w:p w:rsidR="00D7089A" w:rsidRDefault="00D7089A" w:rsidP="00B6649D">
            <w:pPr>
              <w:tabs>
                <w:tab w:val="left" w:pos="1152"/>
              </w:tabs>
              <w:rPr>
                <w:sz w:val="22"/>
                <w:szCs w:val="26"/>
              </w:rPr>
            </w:pPr>
            <w:r w:rsidRPr="00263F5B">
              <w:rPr>
                <w:b/>
                <w:i/>
                <w:szCs w:val="26"/>
              </w:rPr>
              <w:t>Nơi nhận:</w:t>
            </w:r>
            <w:r w:rsidRPr="00263F5B">
              <w:rPr>
                <w:b/>
                <w:i/>
                <w:szCs w:val="26"/>
              </w:rPr>
              <w:br/>
            </w:r>
            <w:r w:rsidRPr="00263F5B">
              <w:rPr>
                <w:sz w:val="22"/>
                <w:szCs w:val="26"/>
              </w:rPr>
              <w:t>- Như trên;</w:t>
            </w:r>
          </w:p>
          <w:p w:rsidR="00D7089A" w:rsidRPr="00263F5B" w:rsidRDefault="00D7089A" w:rsidP="00015BA3">
            <w:pPr>
              <w:tabs>
                <w:tab w:val="left" w:pos="1152"/>
              </w:tabs>
              <w:rPr>
                <w:sz w:val="26"/>
                <w:szCs w:val="26"/>
              </w:rPr>
            </w:pPr>
            <w:r w:rsidRPr="00263F5B">
              <w:rPr>
                <w:sz w:val="22"/>
                <w:szCs w:val="26"/>
              </w:rPr>
              <w:t xml:space="preserve">- </w:t>
            </w:r>
            <w:r w:rsidR="004B31AE">
              <w:rPr>
                <w:sz w:val="22"/>
                <w:szCs w:val="26"/>
              </w:rPr>
              <w:t>Giám đốc,</w:t>
            </w:r>
            <w:r w:rsidR="00C94EDC">
              <w:rPr>
                <w:sz w:val="22"/>
                <w:szCs w:val="26"/>
              </w:rPr>
              <w:t xml:space="preserve"> </w:t>
            </w:r>
            <w:r w:rsidR="00536C95">
              <w:rPr>
                <w:sz w:val="22"/>
                <w:szCs w:val="26"/>
              </w:rPr>
              <w:t xml:space="preserve">các </w:t>
            </w:r>
            <w:r w:rsidR="00C94EDC">
              <w:rPr>
                <w:sz w:val="22"/>
                <w:szCs w:val="26"/>
              </w:rPr>
              <w:t>PGĐ Sở</w:t>
            </w:r>
            <w:r w:rsidRPr="00263F5B">
              <w:rPr>
                <w:sz w:val="22"/>
                <w:szCs w:val="26"/>
              </w:rPr>
              <w:t>;</w:t>
            </w:r>
            <w:r w:rsidRPr="00263F5B">
              <w:rPr>
                <w:sz w:val="22"/>
                <w:szCs w:val="26"/>
              </w:rPr>
              <w:br/>
              <w:t xml:space="preserve">- Lưu: VT, Phòng HCSN. </w:t>
            </w:r>
          </w:p>
        </w:tc>
        <w:tc>
          <w:tcPr>
            <w:tcW w:w="4536" w:type="dxa"/>
          </w:tcPr>
          <w:p w:rsidR="00D7089A" w:rsidRPr="008262B0" w:rsidRDefault="001D0771" w:rsidP="008262B0">
            <w:pPr>
              <w:spacing w:after="120"/>
              <w:ind w:right="-24"/>
              <w:jc w:val="center"/>
              <w:rPr>
                <w:i/>
                <w:sz w:val="28"/>
                <w:szCs w:val="26"/>
              </w:rPr>
            </w:pPr>
            <w:r>
              <w:rPr>
                <w:b/>
                <w:sz w:val="28"/>
                <w:szCs w:val="26"/>
              </w:rPr>
              <w:t xml:space="preserve">         </w:t>
            </w:r>
            <w:r w:rsidR="0014535F">
              <w:rPr>
                <w:b/>
                <w:sz w:val="28"/>
                <w:szCs w:val="26"/>
              </w:rPr>
              <w:t xml:space="preserve">  </w:t>
            </w:r>
            <w:r w:rsidR="00D7089A" w:rsidRPr="00263F5B">
              <w:rPr>
                <w:b/>
                <w:sz w:val="28"/>
                <w:szCs w:val="26"/>
              </w:rPr>
              <w:t>GIÁM ĐỐC</w:t>
            </w:r>
            <w:r w:rsidR="00D7089A" w:rsidRPr="00263F5B">
              <w:rPr>
                <w:b/>
                <w:sz w:val="28"/>
                <w:szCs w:val="26"/>
              </w:rPr>
              <w:br/>
            </w:r>
            <w:r w:rsidR="00D7089A" w:rsidRPr="00263F5B">
              <w:rPr>
                <w:sz w:val="28"/>
                <w:szCs w:val="26"/>
              </w:rPr>
              <w:br/>
            </w:r>
          </w:p>
        </w:tc>
      </w:tr>
    </w:tbl>
    <w:p w:rsidR="00451A75" w:rsidRDefault="00451A75"/>
    <w:sectPr w:rsidR="00451A75" w:rsidSect="000335C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B8" w:rsidRDefault="00AB04B8" w:rsidP="00D7089A">
      <w:r>
        <w:separator/>
      </w:r>
    </w:p>
  </w:endnote>
  <w:endnote w:type="continuationSeparator" w:id="0">
    <w:p w:rsidR="00AB04B8" w:rsidRDefault="00AB04B8" w:rsidP="00D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B8" w:rsidRDefault="00AB04B8" w:rsidP="00D7089A">
      <w:r>
        <w:separator/>
      </w:r>
    </w:p>
  </w:footnote>
  <w:footnote w:type="continuationSeparator" w:id="0">
    <w:p w:rsidR="00AB04B8" w:rsidRDefault="00AB04B8" w:rsidP="00D7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65BB3"/>
    <w:multiLevelType w:val="hybridMultilevel"/>
    <w:tmpl w:val="F0F6B462"/>
    <w:lvl w:ilvl="0" w:tplc="62BE6A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6E074D2"/>
    <w:multiLevelType w:val="hybridMultilevel"/>
    <w:tmpl w:val="0A723AF6"/>
    <w:lvl w:ilvl="0" w:tplc="744055EE">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FBC1116"/>
    <w:multiLevelType w:val="hybridMultilevel"/>
    <w:tmpl w:val="65083A54"/>
    <w:lvl w:ilvl="0" w:tplc="FD040DD0">
      <w:start w:val="1"/>
      <w:numFmt w:val="upperRoman"/>
      <w:lvlText w:val="%1."/>
      <w:lvlJc w:val="left"/>
      <w:pPr>
        <w:ind w:left="1348" w:hanging="240"/>
        <w:jc w:val="left"/>
      </w:pPr>
      <w:rPr>
        <w:rFonts w:ascii="Times New Roman" w:eastAsia="Times New Roman" w:hAnsi="Times New Roman" w:cs="Times New Roman" w:hint="default"/>
        <w:b/>
        <w:bCs/>
        <w:w w:val="100"/>
        <w:sz w:val="27"/>
        <w:szCs w:val="27"/>
        <w:lang w:val="vi" w:eastAsia="en-US" w:bidi="ar-SA"/>
      </w:rPr>
    </w:lvl>
    <w:lvl w:ilvl="1" w:tplc="4878B37C">
      <w:start w:val="1"/>
      <w:numFmt w:val="decimal"/>
      <w:lvlText w:val="%2."/>
      <w:lvlJc w:val="left"/>
      <w:pPr>
        <w:ind w:left="542" w:hanging="281"/>
        <w:jc w:val="left"/>
      </w:pPr>
      <w:rPr>
        <w:rFonts w:hint="default"/>
        <w:w w:val="100"/>
        <w:lang w:val="vi" w:eastAsia="en-US" w:bidi="ar-SA"/>
      </w:rPr>
    </w:lvl>
    <w:lvl w:ilvl="2" w:tplc="4B8A7AE8">
      <w:numFmt w:val="bullet"/>
      <w:lvlText w:val="•"/>
      <w:lvlJc w:val="left"/>
      <w:pPr>
        <w:ind w:left="1380" w:hanging="281"/>
      </w:pPr>
      <w:rPr>
        <w:rFonts w:hint="default"/>
        <w:lang w:val="vi" w:eastAsia="en-US" w:bidi="ar-SA"/>
      </w:rPr>
    </w:lvl>
    <w:lvl w:ilvl="3" w:tplc="B5E46E40">
      <w:numFmt w:val="bullet"/>
      <w:lvlText w:val="•"/>
      <w:lvlJc w:val="left"/>
      <w:pPr>
        <w:ind w:left="2498" w:hanging="281"/>
      </w:pPr>
      <w:rPr>
        <w:rFonts w:hint="default"/>
        <w:lang w:val="vi" w:eastAsia="en-US" w:bidi="ar-SA"/>
      </w:rPr>
    </w:lvl>
    <w:lvl w:ilvl="4" w:tplc="29529A42">
      <w:numFmt w:val="bullet"/>
      <w:lvlText w:val="•"/>
      <w:lvlJc w:val="left"/>
      <w:pPr>
        <w:ind w:left="3616" w:hanging="281"/>
      </w:pPr>
      <w:rPr>
        <w:rFonts w:hint="default"/>
        <w:lang w:val="vi" w:eastAsia="en-US" w:bidi="ar-SA"/>
      </w:rPr>
    </w:lvl>
    <w:lvl w:ilvl="5" w:tplc="7CF42CDA">
      <w:numFmt w:val="bullet"/>
      <w:lvlText w:val="•"/>
      <w:lvlJc w:val="left"/>
      <w:pPr>
        <w:ind w:left="4734" w:hanging="281"/>
      </w:pPr>
      <w:rPr>
        <w:rFonts w:hint="default"/>
        <w:lang w:val="vi" w:eastAsia="en-US" w:bidi="ar-SA"/>
      </w:rPr>
    </w:lvl>
    <w:lvl w:ilvl="6" w:tplc="22C2CC68">
      <w:numFmt w:val="bullet"/>
      <w:lvlText w:val="•"/>
      <w:lvlJc w:val="left"/>
      <w:pPr>
        <w:ind w:left="5853" w:hanging="281"/>
      </w:pPr>
      <w:rPr>
        <w:rFonts w:hint="default"/>
        <w:lang w:val="vi" w:eastAsia="en-US" w:bidi="ar-SA"/>
      </w:rPr>
    </w:lvl>
    <w:lvl w:ilvl="7" w:tplc="3C14308A">
      <w:numFmt w:val="bullet"/>
      <w:lvlText w:val="•"/>
      <w:lvlJc w:val="left"/>
      <w:pPr>
        <w:ind w:left="6971" w:hanging="281"/>
      </w:pPr>
      <w:rPr>
        <w:rFonts w:hint="default"/>
        <w:lang w:val="vi" w:eastAsia="en-US" w:bidi="ar-SA"/>
      </w:rPr>
    </w:lvl>
    <w:lvl w:ilvl="8" w:tplc="7A9ADA90">
      <w:numFmt w:val="bullet"/>
      <w:lvlText w:val="•"/>
      <w:lvlJc w:val="left"/>
      <w:pPr>
        <w:ind w:left="8089" w:hanging="281"/>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9A"/>
    <w:rsid w:val="000073A2"/>
    <w:rsid w:val="00014802"/>
    <w:rsid w:val="00015BA3"/>
    <w:rsid w:val="0001633F"/>
    <w:rsid w:val="00017814"/>
    <w:rsid w:val="000335C1"/>
    <w:rsid w:val="00037A3F"/>
    <w:rsid w:val="000476BF"/>
    <w:rsid w:val="00076033"/>
    <w:rsid w:val="00081FD7"/>
    <w:rsid w:val="0008337A"/>
    <w:rsid w:val="00084362"/>
    <w:rsid w:val="0008703E"/>
    <w:rsid w:val="000902F9"/>
    <w:rsid w:val="000918F9"/>
    <w:rsid w:val="000C50C4"/>
    <w:rsid w:val="000E0FED"/>
    <w:rsid w:val="000E16BF"/>
    <w:rsid w:val="000E6AB4"/>
    <w:rsid w:val="000F652A"/>
    <w:rsid w:val="00105F1E"/>
    <w:rsid w:val="0012005A"/>
    <w:rsid w:val="001219EE"/>
    <w:rsid w:val="00123739"/>
    <w:rsid w:val="0012502F"/>
    <w:rsid w:val="001331D3"/>
    <w:rsid w:val="00136DBC"/>
    <w:rsid w:val="0014535F"/>
    <w:rsid w:val="00157779"/>
    <w:rsid w:val="00161076"/>
    <w:rsid w:val="0016165D"/>
    <w:rsid w:val="0017235A"/>
    <w:rsid w:val="00175E4C"/>
    <w:rsid w:val="0019147F"/>
    <w:rsid w:val="001A3198"/>
    <w:rsid w:val="001A6B53"/>
    <w:rsid w:val="001A6D3D"/>
    <w:rsid w:val="001B33C8"/>
    <w:rsid w:val="001B6D18"/>
    <w:rsid w:val="001C1C07"/>
    <w:rsid w:val="001C398D"/>
    <w:rsid w:val="001C6C5D"/>
    <w:rsid w:val="001D0771"/>
    <w:rsid w:val="001E09C4"/>
    <w:rsid w:val="001F24D6"/>
    <w:rsid w:val="001F4D69"/>
    <w:rsid w:val="001F56C3"/>
    <w:rsid w:val="002173CF"/>
    <w:rsid w:val="00224E47"/>
    <w:rsid w:val="00233871"/>
    <w:rsid w:val="00235E99"/>
    <w:rsid w:val="00237DA2"/>
    <w:rsid w:val="00244E4B"/>
    <w:rsid w:val="00253D83"/>
    <w:rsid w:val="00256703"/>
    <w:rsid w:val="00274FEB"/>
    <w:rsid w:val="0028230F"/>
    <w:rsid w:val="00293DF5"/>
    <w:rsid w:val="00295E4B"/>
    <w:rsid w:val="002A1DD4"/>
    <w:rsid w:val="002B3FB3"/>
    <w:rsid w:val="002B4062"/>
    <w:rsid w:val="002C0915"/>
    <w:rsid w:val="002C458D"/>
    <w:rsid w:val="002C69B2"/>
    <w:rsid w:val="002D2F91"/>
    <w:rsid w:val="002D3471"/>
    <w:rsid w:val="002D60F1"/>
    <w:rsid w:val="002D7A9D"/>
    <w:rsid w:val="002E18CE"/>
    <w:rsid w:val="002E1D03"/>
    <w:rsid w:val="002E6F6B"/>
    <w:rsid w:val="002F04E5"/>
    <w:rsid w:val="002F142D"/>
    <w:rsid w:val="002F35F0"/>
    <w:rsid w:val="002F729D"/>
    <w:rsid w:val="00301226"/>
    <w:rsid w:val="0030128D"/>
    <w:rsid w:val="00306690"/>
    <w:rsid w:val="00306A9F"/>
    <w:rsid w:val="003123BA"/>
    <w:rsid w:val="003168DB"/>
    <w:rsid w:val="00317D1B"/>
    <w:rsid w:val="003374B5"/>
    <w:rsid w:val="00346488"/>
    <w:rsid w:val="00350A66"/>
    <w:rsid w:val="00351D3A"/>
    <w:rsid w:val="00351FAF"/>
    <w:rsid w:val="00356D40"/>
    <w:rsid w:val="00364850"/>
    <w:rsid w:val="00371FFA"/>
    <w:rsid w:val="00373535"/>
    <w:rsid w:val="00373A9F"/>
    <w:rsid w:val="003752D4"/>
    <w:rsid w:val="0038579A"/>
    <w:rsid w:val="00391CDF"/>
    <w:rsid w:val="00396299"/>
    <w:rsid w:val="003A5338"/>
    <w:rsid w:val="003B3793"/>
    <w:rsid w:val="003B51B1"/>
    <w:rsid w:val="003B7FA6"/>
    <w:rsid w:val="003C39E5"/>
    <w:rsid w:val="003D2502"/>
    <w:rsid w:val="003D4B1C"/>
    <w:rsid w:val="003D5E9B"/>
    <w:rsid w:val="003D67A9"/>
    <w:rsid w:val="003D69FD"/>
    <w:rsid w:val="003E108A"/>
    <w:rsid w:val="003E2ABC"/>
    <w:rsid w:val="003E3B33"/>
    <w:rsid w:val="00402CCF"/>
    <w:rsid w:val="004062BE"/>
    <w:rsid w:val="00410EB2"/>
    <w:rsid w:val="00410FA2"/>
    <w:rsid w:val="00414BA6"/>
    <w:rsid w:val="00414FBE"/>
    <w:rsid w:val="004202D5"/>
    <w:rsid w:val="00430096"/>
    <w:rsid w:val="00451A75"/>
    <w:rsid w:val="00454BE9"/>
    <w:rsid w:val="00454D1C"/>
    <w:rsid w:val="0045649A"/>
    <w:rsid w:val="00461EC8"/>
    <w:rsid w:val="00465A63"/>
    <w:rsid w:val="00471AA0"/>
    <w:rsid w:val="00477451"/>
    <w:rsid w:val="00491F40"/>
    <w:rsid w:val="004B31AE"/>
    <w:rsid w:val="004B7375"/>
    <w:rsid w:val="004C5E29"/>
    <w:rsid w:val="004C6AB4"/>
    <w:rsid w:val="004D024A"/>
    <w:rsid w:val="004D0AE2"/>
    <w:rsid w:val="004D28EA"/>
    <w:rsid w:val="004D5F49"/>
    <w:rsid w:val="004F4247"/>
    <w:rsid w:val="004F5636"/>
    <w:rsid w:val="005044F2"/>
    <w:rsid w:val="0050531F"/>
    <w:rsid w:val="005141B5"/>
    <w:rsid w:val="00515ADA"/>
    <w:rsid w:val="00523F6A"/>
    <w:rsid w:val="0052479E"/>
    <w:rsid w:val="0053400F"/>
    <w:rsid w:val="00534450"/>
    <w:rsid w:val="00536C95"/>
    <w:rsid w:val="00541E42"/>
    <w:rsid w:val="00551C94"/>
    <w:rsid w:val="00562582"/>
    <w:rsid w:val="005711A8"/>
    <w:rsid w:val="00577A43"/>
    <w:rsid w:val="00591AD4"/>
    <w:rsid w:val="00592296"/>
    <w:rsid w:val="005A20D8"/>
    <w:rsid w:val="005A4FEF"/>
    <w:rsid w:val="005A79C7"/>
    <w:rsid w:val="005B00D3"/>
    <w:rsid w:val="005B35D6"/>
    <w:rsid w:val="005B3D47"/>
    <w:rsid w:val="005C1B91"/>
    <w:rsid w:val="005C482E"/>
    <w:rsid w:val="005C66E6"/>
    <w:rsid w:val="005C7659"/>
    <w:rsid w:val="005D2CA6"/>
    <w:rsid w:val="005D37A7"/>
    <w:rsid w:val="005D4796"/>
    <w:rsid w:val="005E0CBD"/>
    <w:rsid w:val="0060248B"/>
    <w:rsid w:val="00603F9F"/>
    <w:rsid w:val="006071B0"/>
    <w:rsid w:val="00611A5C"/>
    <w:rsid w:val="006143B4"/>
    <w:rsid w:val="00616E87"/>
    <w:rsid w:val="00623A7A"/>
    <w:rsid w:val="00640AF2"/>
    <w:rsid w:val="00652FC1"/>
    <w:rsid w:val="00655FA6"/>
    <w:rsid w:val="00664E2C"/>
    <w:rsid w:val="00667740"/>
    <w:rsid w:val="00667AE5"/>
    <w:rsid w:val="00670854"/>
    <w:rsid w:val="006723A4"/>
    <w:rsid w:val="0067246C"/>
    <w:rsid w:val="006728C5"/>
    <w:rsid w:val="0068212A"/>
    <w:rsid w:val="0068466E"/>
    <w:rsid w:val="00692A0A"/>
    <w:rsid w:val="006A0220"/>
    <w:rsid w:val="006A260C"/>
    <w:rsid w:val="006A5A61"/>
    <w:rsid w:val="006A70CC"/>
    <w:rsid w:val="006B0570"/>
    <w:rsid w:val="006B6BA5"/>
    <w:rsid w:val="006C1186"/>
    <w:rsid w:val="006C18CC"/>
    <w:rsid w:val="006D4677"/>
    <w:rsid w:val="006E4B13"/>
    <w:rsid w:val="006F7B2F"/>
    <w:rsid w:val="007073AD"/>
    <w:rsid w:val="00710A78"/>
    <w:rsid w:val="00717122"/>
    <w:rsid w:val="00733B53"/>
    <w:rsid w:val="00737C2E"/>
    <w:rsid w:val="007447F2"/>
    <w:rsid w:val="00745FEC"/>
    <w:rsid w:val="00747251"/>
    <w:rsid w:val="00753032"/>
    <w:rsid w:val="00754E77"/>
    <w:rsid w:val="00766944"/>
    <w:rsid w:val="0077157F"/>
    <w:rsid w:val="0077241A"/>
    <w:rsid w:val="00785CDF"/>
    <w:rsid w:val="00786972"/>
    <w:rsid w:val="00792C31"/>
    <w:rsid w:val="00792DAD"/>
    <w:rsid w:val="007A5053"/>
    <w:rsid w:val="007A7456"/>
    <w:rsid w:val="007B49D9"/>
    <w:rsid w:val="007C0055"/>
    <w:rsid w:val="007C4FA3"/>
    <w:rsid w:val="007D778A"/>
    <w:rsid w:val="007E6008"/>
    <w:rsid w:val="007E69B6"/>
    <w:rsid w:val="007F05E8"/>
    <w:rsid w:val="007F2A96"/>
    <w:rsid w:val="007F75C6"/>
    <w:rsid w:val="0080477C"/>
    <w:rsid w:val="00825D0E"/>
    <w:rsid w:val="008262B0"/>
    <w:rsid w:val="00836886"/>
    <w:rsid w:val="00847221"/>
    <w:rsid w:val="00850008"/>
    <w:rsid w:val="0085638D"/>
    <w:rsid w:val="0085795C"/>
    <w:rsid w:val="00857A87"/>
    <w:rsid w:val="00864A6F"/>
    <w:rsid w:val="0086693A"/>
    <w:rsid w:val="0086770D"/>
    <w:rsid w:val="00870FBA"/>
    <w:rsid w:val="0088001B"/>
    <w:rsid w:val="008809D3"/>
    <w:rsid w:val="008833A3"/>
    <w:rsid w:val="008938CD"/>
    <w:rsid w:val="00893ED0"/>
    <w:rsid w:val="008A23B9"/>
    <w:rsid w:val="008B08EB"/>
    <w:rsid w:val="008B4E58"/>
    <w:rsid w:val="008B5077"/>
    <w:rsid w:val="008C1821"/>
    <w:rsid w:val="008C5A7D"/>
    <w:rsid w:val="008D280B"/>
    <w:rsid w:val="008D4A7E"/>
    <w:rsid w:val="008E225B"/>
    <w:rsid w:val="008E5545"/>
    <w:rsid w:val="008E6EC1"/>
    <w:rsid w:val="008F2A40"/>
    <w:rsid w:val="008F2D7B"/>
    <w:rsid w:val="008F6AC6"/>
    <w:rsid w:val="008F7CD2"/>
    <w:rsid w:val="008F7FBA"/>
    <w:rsid w:val="00900024"/>
    <w:rsid w:val="00900ED4"/>
    <w:rsid w:val="009021A0"/>
    <w:rsid w:val="009036A0"/>
    <w:rsid w:val="009055A9"/>
    <w:rsid w:val="00907180"/>
    <w:rsid w:val="00912B93"/>
    <w:rsid w:val="009224DC"/>
    <w:rsid w:val="009313CF"/>
    <w:rsid w:val="00937B8C"/>
    <w:rsid w:val="00940AA4"/>
    <w:rsid w:val="0094711E"/>
    <w:rsid w:val="00947CC1"/>
    <w:rsid w:val="009503BC"/>
    <w:rsid w:val="009624C5"/>
    <w:rsid w:val="0097371F"/>
    <w:rsid w:val="0097777A"/>
    <w:rsid w:val="00980B0A"/>
    <w:rsid w:val="00987414"/>
    <w:rsid w:val="009921BB"/>
    <w:rsid w:val="009964D0"/>
    <w:rsid w:val="009A4B6B"/>
    <w:rsid w:val="009B0635"/>
    <w:rsid w:val="009B06E8"/>
    <w:rsid w:val="009B0DDB"/>
    <w:rsid w:val="009B795C"/>
    <w:rsid w:val="009D0FA6"/>
    <w:rsid w:val="009E2986"/>
    <w:rsid w:val="009E3DB3"/>
    <w:rsid w:val="009E602E"/>
    <w:rsid w:val="009F6C99"/>
    <w:rsid w:val="00A021DB"/>
    <w:rsid w:val="00A0642D"/>
    <w:rsid w:val="00A14D1A"/>
    <w:rsid w:val="00A1567B"/>
    <w:rsid w:val="00A2203B"/>
    <w:rsid w:val="00A310AB"/>
    <w:rsid w:val="00A3202A"/>
    <w:rsid w:val="00A41468"/>
    <w:rsid w:val="00A43F95"/>
    <w:rsid w:val="00A44898"/>
    <w:rsid w:val="00A4741C"/>
    <w:rsid w:val="00A646F7"/>
    <w:rsid w:val="00A71833"/>
    <w:rsid w:val="00A867BA"/>
    <w:rsid w:val="00A87362"/>
    <w:rsid w:val="00A915E3"/>
    <w:rsid w:val="00AA1B30"/>
    <w:rsid w:val="00AB04B8"/>
    <w:rsid w:val="00AB1D9F"/>
    <w:rsid w:val="00AC076E"/>
    <w:rsid w:val="00AC3756"/>
    <w:rsid w:val="00AC69F9"/>
    <w:rsid w:val="00AD28A9"/>
    <w:rsid w:val="00AE0351"/>
    <w:rsid w:val="00AE4F6C"/>
    <w:rsid w:val="00AE5B6F"/>
    <w:rsid w:val="00AE73FD"/>
    <w:rsid w:val="00AF44A1"/>
    <w:rsid w:val="00AF77DF"/>
    <w:rsid w:val="00B12796"/>
    <w:rsid w:val="00B12FE6"/>
    <w:rsid w:val="00B16501"/>
    <w:rsid w:val="00B17230"/>
    <w:rsid w:val="00B22829"/>
    <w:rsid w:val="00B24426"/>
    <w:rsid w:val="00B30285"/>
    <w:rsid w:val="00B30F6B"/>
    <w:rsid w:val="00B3405E"/>
    <w:rsid w:val="00B4358F"/>
    <w:rsid w:val="00B43D0E"/>
    <w:rsid w:val="00B51DD2"/>
    <w:rsid w:val="00B54BD2"/>
    <w:rsid w:val="00B66BFB"/>
    <w:rsid w:val="00B722E8"/>
    <w:rsid w:val="00B74F3D"/>
    <w:rsid w:val="00B75FE6"/>
    <w:rsid w:val="00B81D3D"/>
    <w:rsid w:val="00B82B0D"/>
    <w:rsid w:val="00B85EBF"/>
    <w:rsid w:val="00B950E6"/>
    <w:rsid w:val="00B95E5C"/>
    <w:rsid w:val="00BA2515"/>
    <w:rsid w:val="00BA504E"/>
    <w:rsid w:val="00BC1946"/>
    <w:rsid w:val="00BD6BE4"/>
    <w:rsid w:val="00BE1F72"/>
    <w:rsid w:val="00BE26CC"/>
    <w:rsid w:val="00BF0DE3"/>
    <w:rsid w:val="00BF1804"/>
    <w:rsid w:val="00BF1FD3"/>
    <w:rsid w:val="00BF3ECC"/>
    <w:rsid w:val="00BF6C0A"/>
    <w:rsid w:val="00BF71A8"/>
    <w:rsid w:val="00C12485"/>
    <w:rsid w:val="00C141F1"/>
    <w:rsid w:val="00C15CBE"/>
    <w:rsid w:val="00C24790"/>
    <w:rsid w:val="00C35113"/>
    <w:rsid w:val="00C432C7"/>
    <w:rsid w:val="00C442A0"/>
    <w:rsid w:val="00C46BAC"/>
    <w:rsid w:val="00C471B0"/>
    <w:rsid w:val="00C4759B"/>
    <w:rsid w:val="00C52105"/>
    <w:rsid w:val="00C61FBA"/>
    <w:rsid w:val="00C649AB"/>
    <w:rsid w:val="00C7679B"/>
    <w:rsid w:val="00C84B9A"/>
    <w:rsid w:val="00C912E7"/>
    <w:rsid w:val="00C94EDC"/>
    <w:rsid w:val="00C96CD7"/>
    <w:rsid w:val="00CA1775"/>
    <w:rsid w:val="00CA1C3D"/>
    <w:rsid w:val="00CA2188"/>
    <w:rsid w:val="00CB60B4"/>
    <w:rsid w:val="00CB6170"/>
    <w:rsid w:val="00CC1074"/>
    <w:rsid w:val="00CC2F6A"/>
    <w:rsid w:val="00CC345B"/>
    <w:rsid w:val="00CC3AD3"/>
    <w:rsid w:val="00CD17F5"/>
    <w:rsid w:val="00CD38C1"/>
    <w:rsid w:val="00CD5066"/>
    <w:rsid w:val="00CE2393"/>
    <w:rsid w:val="00CE2D55"/>
    <w:rsid w:val="00CF246B"/>
    <w:rsid w:val="00D06AC1"/>
    <w:rsid w:val="00D15708"/>
    <w:rsid w:val="00D2359C"/>
    <w:rsid w:val="00D23710"/>
    <w:rsid w:val="00D244F0"/>
    <w:rsid w:val="00D342EB"/>
    <w:rsid w:val="00D35398"/>
    <w:rsid w:val="00D35510"/>
    <w:rsid w:val="00D377E8"/>
    <w:rsid w:val="00D4151E"/>
    <w:rsid w:val="00D4781E"/>
    <w:rsid w:val="00D6428F"/>
    <w:rsid w:val="00D7089A"/>
    <w:rsid w:val="00D7299C"/>
    <w:rsid w:val="00D73A1F"/>
    <w:rsid w:val="00D8577A"/>
    <w:rsid w:val="00D86F12"/>
    <w:rsid w:val="00D96353"/>
    <w:rsid w:val="00DA0AE9"/>
    <w:rsid w:val="00DA72C7"/>
    <w:rsid w:val="00DB5375"/>
    <w:rsid w:val="00DC5A2D"/>
    <w:rsid w:val="00DD60CA"/>
    <w:rsid w:val="00DE4439"/>
    <w:rsid w:val="00E040C6"/>
    <w:rsid w:val="00E05F93"/>
    <w:rsid w:val="00E1239F"/>
    <w:rsid w:val="00E30EE9"/>
    <w:rsid w:val="00E33F72"/>
    <w:rsid w:val="00E33FF6"/>
    <w:rsid w:val="00E36CDD"/>
    <w:rsid w:val="00E401FF"/>
    <w:rsid w:val="00E42EC5"/>
    <w:rsid w:val="00E452D4"/>
    <w:rsid w:val="00E606E2"/>
    <w:rsid w:val="00E61046"/>
    <w:rsid w:val="00E6653D"/>
    <w:rsid w:val="00E7125E"/>
    <w:rsid w:val="00E730D4"/>
    <w:rsid w:val="00E84A48"/>
    <w:rsid w:val="00E85436"/>
    <w:rsid w:val="00E85D3A"/>
    <w:rsid w:val="00E868D7"/>
    <w:rsid w:val="00E9522F"/>
    <w:rsid w:val="00EA521D"/>
    <w:rsid w:val="00EA66A0"/>
    <w:rsid w:val="00EA7501"/>
    <w:rsid w:val="00EB3339"/>
    <w:rsid w:val="00ED717B"/>
    <w:rsid w:val="00ED732C"/>
    <w:rsid w:val="00EE0B32"/>
    <w:rsid w:val="00EE3761"/>
    <w:rsid w:val="00EE5CCB"/>
    <w:rsid w:val="00F02723"/>
    <w:rsid w:val="00F03A73"/>
    <w:rsid w:val="00F07891"/>
    <w:rsid w:val="00F20C9D"/>
    <w:rsid w:val="00F21E41"/>
    <w:rsid w:val="00F27779"/>
    <w:rsid w:val="00F32E8A"/>
    <w:rsid w:val="00F465A6"/>
    <w:rsid w:val="00F56F13"/>
    <w:rsid w:val="00F5711C"/>
    <w:rsid w:val="00F7107B"/>
    <w:rsid w:val="00F81BED"/>
    <w:rsid w:val="00F83F9F"/>
    <w:rsid w:val="00F8490A"/>
    <w:rsid w:val="00F905ED"/>
    <w:rsid w:val="00F92CE0"/>
    <w:rsid w:val="00F935C3"/>
    <w:rsid w:val="00FB0AAF"/>
    <w:rsid w:val="00FB696E"/>
    <w:rsid w:val="00FC3D33"/>
    <w:rsid w:val="00FC5F81"/>
    <w:rsid w:val="00FC62BE"/>
    <w:rsid w:val="00FC676A"/>
    <w:rsid w:val="00FD3B79"/>
    <w:rsid w:val="00FE2158"/>
    <w:rsid w:val="00FE35E5"/>
    <w:rsid w:val="00FE4911"/>
    <w:rsid w:val="00FF05F1"/>
    <w:rsid w:val="00FF3B51"/>
    <w:rsid w:val="00FF49C5"/>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FBEFAEE-13D5-4997-B4D8-9205EEE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37B8C"/>
    <w:pPr>
      <w:widowControl w:val="0"/>
      <w:autoSpaceDE w:val="0"/>
      <w:autoSpaceDN w:val="0"/>
      <w:spacing w:before="128"/>
      <w:ind w:left="1379"/>
      <w:outlineLvl w:val="0"/>
    </w:pPr>
    <w:rPr>
      <w:b/>
      <w:bCs/>
      <w:sz w:val="27"/>
      <w:szCs w:val="2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089A"/>
    <w:pPr>
      <w:ind w:left="720"/>
      <w:contextualSpacing/>
    </w:pPr>
  </w:style>
  <w:style w:type="paragraph" w:styleId="FootnoteText">
    <w:name w:val="footnote text"/>
    <w:basedOn w:val="Normal"/>
    <w:link w:val="FootnoteTextChar"/>
    <w:uiPriority w:val="99"/>
    <w:semiHidden/>
    <w:unhideWhenUsed/>
    <w:rsid w:val="00D7089A"/>
    <w:rPr>
      <w:sz w:val="20"/>
      <w:szCs w:val="20"/>
    </w:rPr>
  </w:style>
  <w:style w:type="character" w:customStyle="1" w:styleId="FootnoteTextChar">
    <w:name w:val="Footnote Text Char"/>
    <w:basedOn w:val="DefaultParagraphFont"/>
    <w:link w:val="FootnoteText"/>
    <w:uiPriority w:val="99"/>
    <w:semiHidden/>
    <w:rsid w:val="00D708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089A"/>
    <w:rPr>
      <w:vertAlign w:val="superscript"/>
    </w:rPr>
  </w:style>
  <w:style w:type="paragraph" w:styleId="BalloonText">
    <w:name w:val="Balloon Text"/>
    <w:basedOn w:val="Normal"/>
    <w:link w:val="BalloonTextChar"/>
    <w:uiPriority w:val="99"/>
    <w:semiHidden/>
    <w:unhideWhenUsed/>
    <w:rsid w:val="00E0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C6"/>
    <w:rPr>
      <w:rFonts w:ascii="Segoe UI" w:eastAsia="Times New Roman" w:hAnsi="Segoe UI" w:cs="Segoe UI"/>
      <w:sz w:val="18"/>
      <w:szCs w:val="18"/>
    </w:rPr>
  </w:style>
  <w:style w:type="paragraph" w:styleId="NormalWeb">
    <w:name w:val="Normal (Web)"/>
    <w:aliases w:val="Normal (Web) Char"/>
    <w:basedOn w:val="Normal"/>
    <w:link w:val="NormalWebChar1"/>
    <w:rsid w:val="00B74F3D"/>
    <w:pPr>
      <w:spacing w:before="100" w:beforeAutospacing="1" w:after="100" w:afterAutospacing="1"/>
    </w:pPr>
    <w:rPr>
      <w:lang w:val="vi-VN"/>
    </w:rPr>
  </w:style>
  <w:style w:type="paragraph" w:customStyle="1" w:styleId="1">
    <w:name w:val="1"/>
    <w:basedOn w:val="Normal"/>
    <w:semiHidden/>
    <w:rsid w:val="00175E4C"/>
    <w:pPr>
      <w:spacing w:after="160" w:line="240" w:lineRule="exact"/>
    </w:pPr>
    <w:rPr>
      <w:rFonts w:ascii="Arial" w:hAnsi="Arial"/>
      <w:sz w:val="22"/>
      <w:szCs w:val="22"/>
      <w:lang w:val="vi-VN"/>
    </w:rPr>
  </w:style>
  <w:style w:type="paragraph" w:styleId="BodyText">
    <w:name w:val="Body Text"/>
    <w:basedOn w:val="Normal"/>
    <w:link w:val="BodyTextChar"/>
    <w:uiPriority w:val="1"/>
    <w:qFormat/>
    <w:rsid w:val="008B08EB"/>
    <w:pPr>
      <w:widowControl w:val="0"/>
      <w:autoSpaceDE w:val="0"/>
      <w:autoSpaceDN w:val="0"/>
      <w:spacing w:before="120"/>
      <w:ind w:left="542" w:firstLine="566"/>
      <w:jc w:val="both"/>
    </w:pPr>
    <w:rPr>
      <w:sz w:val="27"/>
      <w:szCs w:val="27"/>
      <w:lang w:val="vi"/>
    </w:rPr>
  </w:style>
  <w:style w:type="character" w:customStyle="1" w:styleId="BodyTextChar">
    <w:name w:val="Body Text Char"/>
    <w:basedOn w:val="DefaultParagraphFont"/>
    <w:link w:val="BodyText"/>
    <w:uiPriority w:val="1"/>
    <w:rsid w:val="008B08EB"/>
    <w:rPr>
      <w:rFonts w:ascii="Times New Roman" w:eastAsia="Times New Roman" w:hAnsi="Times New Roman" w:cs="Times New Roman"/>
      <w:sz w:val="27"/>
      <w:szCs w:val="27"/>
      <w:lang w:val="vi"/>
    </w:rPr>
  </w:style>
  <w:style w:type="character" w:customStyle="1" w:styleId="NormalWebChar1">
    <w:name w:val="Normal (Web) Char1"/>
    <w:aliases w:val="Normal (Web) Char Char"/>
    <w:link w:val="NormalWeb"/>
    <w:locked/>
    <w:rsid w:val="00AA1B30"/>
    <w:rPr>
      <w:rFonts w:ascii="Times New Roman" w:eastAsia="Times New Roman" w:hAnsi="Times New Roman" w:cs="Times New Roman"/>
      <w:sz w:val="24"/>
      <w:szCs w:val="24"/>
      <w:lang w:val="vi-VN"/>
    </w:rPr>
  </w:style>
  <w:style w:type="character" w:customStyle="1" w:styleId="Heading1Char">
    <w:name w:val="Heading 1 Char"/>
    <w:basedOn w:val="DefaultParagraphFont"/>
    <w:link w:val="Heading1"/>
    <w:uiPriority w:val="1"/>
    <w:rsid w:val="00937B8C"/>
    <w:rPr>
      <w:rFonts w:ascii="Times New Roman" w:eastAsia="Times New Roman" w:hAnsi="Times New Roman" w:cs="Times New Roman"/>
      <w:b/>
      <w:bCs/>
      <w:sz w:val="27"/>
      <w:szCs w:val="27"/>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249F2519-CD5E-4AA5-B304-42C4577CA745" xsi:nil="true"/>
  </documentManagement>
</p:properties>
</file>

<file path=customXml/itemProps1.xml><?xml version="1.0" encoding="utf-8"?>
<ds:datastoreItem xmlns:ds="http://schemas.openxmlformats.org/officeDocument/2006/customXml" ds:itemID="{41D0150F-5A66-42F5-B007-12E23149310B}"/>
</file>

<file path=customXml/itemProps2.xml><?xml version="1.0" encoding="utf-8"?>
<ds:datastoreItem xmlns:ds="http://schemas.openxmlformats.org/officeDocument/2006/customXml" ds:itemID="{BF3A03B0-BF12-4AF9-9E86-6E1FC66500A0}"/>
</file>

<file path=customXml/itemProps3.xml><?xml version="1.0" encoding="utf-8"?>
<ds:datastoreItem xmlns:ds="http://schemas.openxmlformats.org/officeDocument/2006/customXml" ds:itemID="{2FBF4717-1473-47F3-9A98-7B3C5DC50AC1}"/>
</file>

<file path=docProps/app.xml><?xml version="1.0" encoding="utf-8"?>
<Properties xmlns="http://schemas.openxmlformats.org/officeDocument/2006/extended-properties" xmlns:vt="http://schemas.openxmlformats.org/officeDocument/2006/docPropsVTypes">
  <Template>Normal</Template>
  <TotalTime>2097</TotalTime>
  <Pages>4</Pages>
  <Words>1339</Words>
  <Characters>7634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 DỰ KIẾN NGUỒN LỰC, ĐIỀU KIỆN ĐẢM BẢO THI HÀNH QUYẾT ĐỊNH</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dc:creator>
  <cp:keywords/>
  <dc:description/>
  <cp:lastModifiedBy>Phòng HCSN</cp:lastModifiedBy>
  <cp:revision>599</cp:revision>
  <cp:lastPrinted>2023-01-12T08:34:00Z</cp:lastPrinted>
  <dcterms:created xsi:type="dcterms:W3CDTF">2019-09-12T07:04:00Z</dcterms:created>
  <dcterms:modified xsi:type="dcterms:W3CDTF">2023-01-13T01:59:00Z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