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Style w:val="Normaltable"/>
        <w:tblW w:w="9766" w:type="dxa"/>
        <w:jc w:val="center"/>
        <w:tblInd w:w="-108" w:type="dxa"/>
        <w:tblLook w:val="04A0"/>
      </w:tblPr>
      <w:tblGrid>
        <w:gridCol w:w="3138"/>
        <w:gridCol w:w="680"/>
        <w:gridCol w:w="5948"/>
      </w:tblGrid>
      <w:tr w:rsidR="00DE1D46">
        <w:trPr>
          <w:jc w:val="center"/>
        </w:trPr>
        <w:tc>
          <w:tcPr>
            <w:tcW w:w="3138" w:type="dxa"/>
            <w:shd w:val="clear" w:color="auto" w:fill="auto"/>
          </w:tcPr>
          <w:p w:rsidR="00DE1D46" w:rsidRDefault="00040FCE">
            <w:pPr>
              <w:jc w:val="center"/>
              <w:rPr>
                <w:bCs/>
                <w:color w:val="000000"/>
                <w:sz w:val="26"/>
                <w:szCs w:val="26"/>
              </w:rPr>
            </w:pPr>
            <w:r>
              <w:rPr>
                <w:bCs/>
                <w:color w:val="000000"/>
                <w:sz w:val="26"/>
                <w:szCs w:val="26"/>
              </w:rPr>
              <w:t>UBND TỈNH BÌNH ĐỊNH</w:t>
            </w:r>
          </w:p>
          <w:p w:rsidR="00DE1D46" w:rsidRDefault="00040FCE">
            <w:pPr>
              <w:jc w:val="center"/>
              <w:rPr>
                <w:b/>
                <w:bCs/>
                <w:color w:val="000000"/>
                <w:sz w:val="27"/>
                <w:szCs w:val="27"/>
              </w:rPr>
            </w:pPr>
            <w:r>
              <w:rPr>
                <w:b/>
                <w:bCs/>
                <w:color w:val="000000"/>
                <w:sz w:val="27"/>
                <w:szCs w:val="27"/>
              </w:rPr>
              <w:t>SỞ TÀI CHÍNH</w:t>
            </w:r>
          </w:p>
          <w:p w:rsidR="00DE1D46" w:rsidRDefault="00E12E67">
            <w:pPr>
              <w:spacing w:before="120"/>
              <w:jc w:val="center"/>
              <w:rPr>
                <w:bCs/>
                <w:color w:val="000000"/>
                <w:sz w:val="27"/>
                <w:szCs w:val="27"/>
              </w:rPr>
            </w:pPr>
            <w:r>
              <w:rPr>
                <w:bCs/>
                <w:noProof/>
                <w:color w:val="000000"/>
                <w:sz w:val="26"/>
                <w:szCs w:val="26"/>
              </w:rPr>
              <w:pict>
                <v:shapetype id="_x0000_t32" coordsize="21600,21600" o:spt="32" o:oned="t" path="m,l21600,21600e" filled="f">
                  <v:path arrowok="t" fillok="f" o:connecttype="none"/>
                  <o:lock v:ext="edit" shapetype="t"/>
                </v:shapetype>
                <v:shape id="_x0000_s1026" type="#_x0000_t32" style="position:absolute;left:0;text-align:left;margin-left:38.65pt;margin-top:1.4pt;width:69.6pt;height:0;z-index:251658240" o:connectortype="straight"/>
              </w:pict>
            </w:r>
            <w:r w:rsidR="00040FCE">
              <w:rPr>
                <w:bCs/>
                <w:color w:val="000000"/>
                <w:sz w:val="27"/>
                <w:szCs w:val="27"/>
              </w:rPr>
              <w:t>Số:         /BC-STC</w:t>
            </w:r>
          </w:p>
        </w:tc>
        <w:tc>
          <w:tcPr>
            <w:tcW w:w="680" w:type="dxa"/>
            <w:shd w:val="clear" w:color="auto" w:fill="auto"/>
          </w:tcPr>
          <w:p w:rsidR="00DE1D46" w:rsidRDefault="00DE1D46">
            <w:pPr>
              <w:jc w:val="both"/>
              <w:rPr>
                <w:bCs/>
                <w:color w:val="000000"/>
                <w:sz w:val="26"/>
                <w:szCs w:val="26"/>
              </w:rPr>
            </w:pPr>
          </w:p>
        </w:tc>
        <w:tc>
          <w:tcPr>
            <w:tcW w:w="5948" w:type="dxa"/>
            <w:shd w:val="clear" w:color="auto" w:fill="auto"/>
          </w:tcPr>
          <w:p w:rsidR="00DE1D46" w:rsidRDefault="00040FCE">
            <w:pPr>
              <w:jc w:val="center"/>
              <w:rPr>
                <w:b/>
                <w:bCs/>
                <w:color w:val="000000"/>
                <w:sz w:val="26"/>
                <w:szCs w:val="26"/>
              </w:rPr>
            </w:pPr>
            <w:r>
              <w:rPr>
                <w:b/>
                <w:bCs/>
                <w:color w:val="000000"/>
                <w:sz w:val="26"/>
                <w:szCs w:val="26"/>
              </w:rPr>
              <w:t>CỘNG HÒA XÃ HỘI CHỦ NGHĨA VIỆT NAM</w:t>
            </w:r>
          </w:p>
          <w:p w:rsidR="00DE1D46" w:rsidRDefault="00040FCE">
            <w:pPr>
              <w:jc w:val="center"/>
              <w:rPr>
                <w:b/>
                <w:bCs/>
                <w:color w:val="000000"/>
                <w:sz w:val="28"/>
                <w:szCs w:val="28"/>
              </w:rPr>
            </w:pPr>
            <w:r>
              <w:rPr>
                <w:b/>
                <w:bCs/>
                <w:color w:val="000000"/>
                <w:sz w:val="28"/>
                <w:szCs w:val="28"/>
              </w:rPr>
              <w:t>Độc lập - Tự do - Hạnh phúc</w:t>
            </w:r>
          </w:p>
          <w:p w:rsidR="00DE1D46" w:rsidRDefault="00E12E67">
            <w:pPr>
              <w:spacing w:before="120"/>
              <w:jc w:val="center"/>
              <w:rPr>
                <w:bCs/>
                <w:color w:val="000000"/>
                <w:sz w:val="27"/>
                <w:szCs w:val="27"/>
              </w:rPr>
            </w:pPr>
            <w:r>
              <w:rPr>
                <w:bCs/>
                <w:i/>
                <w:noProof/>
                <w:color w:val="000000"/>
                <w:sz w:val="27"/>
                <w:szCs w:val="27"/>
              </w:rPr>
              <w:pict>
                <v:shape id="_x0000_s1028" type="#_x0000_t32" style="position:absolute;left:0;text-align:left;margin-left:72.75pt;margin-top:4.4pt;width:141pt;height:0;z-index:251659264" o:connectortype="straight"/>
              </w:pict>
            </w:r>
            <w:r>
              <w:rPr>
                <w:bCs/>
                <w:i/>
                <w:color w:val="000000"/>
                <w:sz w:val="27"/>
                <w:szCs w:val="27"/>
              </w:rPr>
              <w:t xml:space="preserve">Bình </w:t>
            </w:r>
            <w:r w:rsidR="00040FCE">
              <w:rPr>
                <w:bCs/>
                <w:i/>
                <w:color w:val="000000"/>
                <w:sz w:val="27"/>
                <w:szCs w:val="27"/>
              </w:rPr>
              <w:t>Định, ngày     tháng 01 năm 2020</w:t>
            </w:r>
          </w:p>
        </w:tc>
      </w:tr>
    </w:tbl>
    <w:p w:rsidR="00DE1D46" w:rsidRDefault="00040FCE">
      <w:pPr>
        <w:spacing w:before="480"/>
        <w:jc w:val="center"/>
        <w:rPr>
          <w:b/>
          <w:bCs/>
          <w:color w:val="000000"/>
          <w:sz w:val="28"/>
          <w:szCs w:val="28"/>
        </w:rPr>
      </w:pPr>
      <w:r>
        <w:rPr>
          <w:b/>
          <w:bCs/>
          <w:color w:val="000000"/>
          <w:sz w:val="28"/>
          <w:szCs w:val="28"/>
        </w:rPr>
        <w:t>BÁO CÁO TÓM TẮT</w:t>
      </w:r>
    </w:p>
    <w:p w:rsidR="00DE1D46" w:rsidRDefault="00040FCE">
      <w:pPr>
        <w:jc w:val="center"/>
        <w:rPr>
          <w:b/>
          <w:bCs/>
          <w:color w:val="000000"/>
          <w:sz w:val="28"/>
          <w:szCs w:val="28"/>
        </w:rPr>
      </w:pPr>
      <w:r>
        <w:rPr>
          <w:b/>
          <w:bCs/>
          <w:color w:val="000000"/>
          <w:sz w:val="28"/>
          <w:szCs w:val="28"/>
        </w:rPr>
        <w:t>Các giải pháp điều hành dự toán ngân sách nhà nước năm 2020</w:t>
      </w:r>
    </w:p>
    <w:p w:rsidR="00DE1D46" w:rsidRDefault="00E12E67">
      <w:pPr>
        <w:spacing w:before="120"/>
        <w:ind w:firstLine="720"/>
        <w:rPr>
          <w:b/>
          <w:bCs/>
          <w:color w:val="000000"/>
          <w:sz w:val="20"/>
          <w:szCs w:val="28"/>
        </w:rPr>
      </w:pPr>
      <w:r>
        <w:rPr>
          <w:b/>
          <w:bCs/>
          <w:noProof/>
          <w:color w:val="000000"/>
          <w:sz w:val="20"/>
          <w:szCs w:val="28"/>
        </w:rPr>
        <w:pict>
          <v:shape id="_x0000_s1029" type="#_x0000_t32" style="position:absolute;left:0;text-align:left;margin-left:168.15pt;margin-top:7.7pt;width:129.6pt;height:.05pt;z-index:251660288" o:connectortype="straight"/>
        </w:pict>
      </w:r>
    </w:p>
    <w:p w:rsidR="00DE1D46" w:rsidRDefault="00040FCE">
      <w:pPr>
        <w:spacing w:before="60" w:after="60"/>
        <w:ind w:firstLine="567"/>
        <w:jc w:val="both"/>
        <w:rPr>
          <w:bCs/>
          <w:color w:val="000000"/>
          <w:spacing w:val="-2"/>
          <w:sz w:val="28"/>
          <w:szCs w:val="28"/>
        </w:rPr>
      </w:pPr>
      <w:r>
        <w:rPr>
          <w:bCs/>
          <w:color w:val="000000"/>
          <w:spacing w:val="-2"/>
          <w:sz w:val="28"/>
          <w:szCs w:val="28"/>
        </w:rPr>
        <w:t>Thực hiện Công văn số 8022/UBND-TH ngày 31/12/2019 của UBND tỉnh về việc chuẩn bị các báo cáo phục vụ Hội nghị trực tuyến triển khai nhiệm vụ năm 2020, trong đó, giao Sở Tài chính chuẩn bị Báo cáo tóm tắt các giải pháp điều hành dự toán ngân sách nhà nước trên địa bàn tỉnh năm 2020. Sau khi nghiên cứu, Sở Tài chính báo cáo một số nội dung như sau:</w:t>
      </w:r>
    </w:p>
    <w:p w:rsidR="00DE1D46" w:rsidRDefault="00040FCE">
      <w:pPr>
        <w:spacing w:before="60" w:after="60"/>
        <w:ind w:firstLine="567"/>
        <w:jc w:val="both"/>
        <w:rPr>
          <w:bCs/>
          <w:color w:val="000000"/>
          <w:spacing w:val="-2"/>
          <w:sz w:val="28"/>
          <w:szCs w:val="28"/>
        </w:rPr>
      </w:pPr>
      <w:r>
        <w:rPr>
          <w:bCs/>
          <w:color w:val="000000"/>
          <w:spacing w:val="-2"/>
          <w:sz w:val="28"/>
          <w:szCs w:val="28"/>
        </w:rPr>
        <w:t>Ngày 13/12/2019, HĐND tỉnh đã thông qua Nghị quyết số 36/NQ-HĐND về dự toán ngân sách nhà nước năm 2020 với một số chỉ tiêu chủ yếu như sau:</w:t>
      </w:r>
    </w:p>
    <w:p w:rsidR="00DE1D46" w:rsidRDefault="00040FCE">
      <w:pPr>
        <w:spacing w:before="60" w:after="60"/>
        <w:ind w:firstLine="567"/>
        <w:jc w:val="both"/>
        <w:rPr>
          <w:bCs/>
          <w:color w:val="000000"/>
          <w:spacing w:val="-2"/>
          <w:sz w:val="28"/>
          <w:szCs w:val="28"/>
        </w:rPr>
      </w:pPr>
      <w:r>
        <w:rPr>
          <w:bCs/>
          <w:color w:val="000000"/>
          <w:spacing w:val="-2"/>
          <w:sz w:val="28"/>
          <w:szCs w:val="28"/>
        </w:rPr>
        <w:t xml:space="preserve">- Tổng thu NSNN trên địa bàn là </w:t>
      </w:r>
      <w:r>
        <w:rPr>
          <w:bCs/>
          <w:color w:val="000000"/>
          <w:spacing w:val="-2"/>
          <w:sz w:val="28"/>
          <w:szCs w:val="28"/>
        </w:rPr>
        <w:tab/>
        <w:t>9.856,9 tỷ đồng, bao gồm:</w:t>
      </w:r>
    </w:p>
    <w:p w:rsidR="00DE1D46" w:rsidRDefault="00040FCE">
      <w:pPr>
        <w:spacing w:before="60" w:after="60"/>
        <w:ind w:firstLine="567"/>
        <w:jc w:val="both"/>
        <w:rPr>
          <w:bCs/>
          <w:color w:val="000000"/>
          <w:spacing w:val="-2"/>
          <w:sz w:val="28"/>
          <w:szCs w:val="28"/>
        </w:rPr>
      </w:pPr>
      <w:r>
        <w:rPr>
          <w:bCs/>
          <w:color w:val="000000"/>
          <w:spacing w:val="-2"/>
          <w:sz w:val="28"/>
          <w:szCs w:val="28"/>
        </w:rPr>
        <w:t>+ Thu từ hoạt động XNK 715 tỷ đồng;</w:t>
      </w:r>
    </w:p>
    <w:p w:rsidR="00DE1D46" w:rsidRDefault="00040FCE">
      <w:pPr>
        <w:spacing w:before="60" w:after="60"/>
        <w:ind w:firstLine="567"/>
        <w:jc w:val="both"/>
        <w:rPr>
          <w:bCs/>
          <w:color w:val="000000"/>
          <w:spacing w:val="-2"/>
          <w:sz w:val="28"/>
          <w:szCs w:val="28"/>
        </w:rPr>
      </w:pPr>
      <w:r>
        <w:rPr>
          <w:bCs/>
          <w:color w:val="000000"/>
          <w:spacing w:val="-2"/>
          <w:sz w:val="28"/>
          <w:szCs w:val="28"/>
        </w:rPr>
        <w:t>+ Thu nội địa là 9.000 tỷ đồng;</w:t>
      </w:r>
    </w:p>
    <w:p w:rsidR="00DE1D46" w:rsidRDefault="00040FCE">
      <w:pPr>
        <w:spacing w:before="60" w:after="60"/>
        <w:ind w:firstLine="567"/>
        <w:jc w:val="both"/>
        <w:rPr>
          <w:bCs/>
          <w:color w:val="000000"/>
          <w:spacing w:val="-2"/>
          <w:sz w:val="28"/>
          <w:szCs w:val="28"/>
        </w:rPr>
      </w:pPr>
      <w:r>
        <w:rPr>
          <w:bCs/>
          <w:color w:val="000000"/>
          <w:spacing w:val="-2"/>
          <w:sz w:val="28"/>
          <w:szCs w:val="28"/>
        </w:rPr>
        <w:t>+ Thu vay bù đắp bội chi 141,9 tỷ đồng.</w:t>
      </w:r>
    </w:p>
    <w:p w:rsidR="00DE1D46" w:rsidRDefault="00040FCE">
      <w:pPr>
        <w:spacing w:before="60" w:after="60"/>
        <w:ind w:firstLine="567"/>
        <w:jc w:val="both"/>
        <w:rPr>
          <w:bCs/>
          <w:color w:val="000000"/>
          <w:spacing w:val="-2"/>
          <w:sz w:val="28"/>
          <w:szCs w:val="28"/>
        </w:rPr>
      </w:pPr>
      <w:r>
        <w:rPr>
          <w:bCs/>
          <w:color w:val="000000"/>
          <w:spacing w:val="-2"/>
          <w:sz w:val="28"/>
          <w:szCs w:val="28"/>
        </w:rPr>
        <w:t>- Tổng chi ngân sách địa phương là 15.625,8 tỷ đồng.</w:t>
      </w:r>
    </w:p>
    <w:p w:rsidR="00DE1D46" w:rsidRDefault="00040FCE">
      <w:pPr>
        <w:spacing w:before="60" w:after="60"/>
        <w:ind w:firstLine="567"/>
        <w:jc w:val="both"/>
        <w:rPr>
          <w:b/>
          <w:bCs/>
          <w:color w:val="000000"/>
          <w:sz w:val="28"/>
          <w:szCs w:val="28"/>
        </w:rPr>
      </w:pPr>
      <w:r>
        <w:rPr>
          <w:bCs/>
          <w:color w:val="000000"/>
          <w:sz w:val="28"/>
          <w:szCs w:val="28"/>
        </w:rPr>
        <w:t>Để thực hiện hoàn thành dự toán ngân sách nhà nước năm 2020 được HĐND tỉnh giao, Sở Tài chính kính đề nghị UBND tỉnh chỉ đạo các cơ quan, đơn vị, địa phương chủ động thực hiện các giải pháp điều hành nhiệm vụ tài chính - ngân sách năm 2020 đã được Quốc hội thông qua tại Nghị quyết số 86/2019/QH14 ngày 12/11/2019 và Nghị quyết số 01/NQ-CP ngày 01/01/2020 của Chính phủ, trong đó, cần tập trung một số nhiệm vụ chủ yếu như sau:</w:t>
      </w:r>
    </w:p>
    <w:p w:rsidR="00DE1D46" w:rsidRDefault="00040FCE">
      <w:pPr>
        <w:pStyle w:val="Bodytextindent"/>
        <w:spacing w:before="60" w:after="60"/>
        <w:ind w:firstLine="567"/>
        <w:rPr>
          <w:b/>
          <w:bCs/>
          <w:color w:val="000000"/>
          <w:szCs w:val="28"/>
          <w:lang w:val="vi-VN"/>
        </w:rPr>
      </w:pPr>
      <w:r>
        <w:rPr>
          <w:b/>
          <w:bCs/>
          <w:color w:val="000000"/>
          <w:szCs w:val="28"/>
          <w:lang w:val="de-DE"/>
        </w:rPr>
        <w:t>1.</w:t>
      </w:r>
      <w:r>
        <w:rPr>
          <w:b/>
          <w:bCs/>
          <w:color w:val="000000"/>
          <w:szCs w:val="28"/>
          <w:lang w:val="vi-VN"/>
        </w:rPr>
        <w:t xml:space="preserve"> Thu ngân sách</w:t>
      </w:r>
    </w:p>
    <w:p w:rsidR="00DE1D46" w:rsidRDefault="00040FCE">
      <w:pPr>
        <w:pStyle w:val="Bodytextindent"/>
        <w:spacing w:before="60" w:after="60"/>
        <w:ind w:firstLine="567"/>
        <w:rPr>
          <w:color w:val="000000"/>
          <w:spacing w:val="-2"/>
          <w:szCs w:val="28"/>
          <w:lang w:val="de-DE"/>
        </w:rPr>
      </w:pPr>
      <w:r>
        <w:rPr>
          <w:color w:val="000000"/>
          <w:spacing w:val="-2"/>
          <w:szCs w:val="28"/>
          <w:lang w:val="de-DE"/>
        </w:rPr>
        <w:t>a)</w:t>
      </w:r>
      <w:r>
        <w:rPr>
          <w:color w:val="000000"/>
          <w:spacing w:val="-2"/>
          <w:szCs w:val="28"/>
          <w:lang w:val="vi-VN"/>
        </w:rPr>
        <w:t xml:space="preserve"> </w:t>
      </w:r>
      <w:r>
        <w:rPr>
          <w:color w:val="000000"/>
          <w:spacing w:val="-2"/>
          <w:szCs w:val="28"/>
          <w:lang w:val="de-DE"/>
        </w:rPr>
        <w:t>Ngành Thuế</w:t>
      </w:r>
    </w:p>
    <w:p w:rsidR="00DE1D46" w:rsidRDefault="00040FCE">
      <w:pPr>
        <w:pStyle w:val="Bodytextindent"/>
        <w:spacing w:before="60" w:after="60"/>
        <w:ind w:firstLine="567"/>
        <w:rPr>
          <w:color w:val="000000"/>
          <w:spacing w:val="-2"/>
          <w:szCs w:val="28"/>
          <w:lang w:val="de-DE"/>
        </w:rPr>
      </w:pPr>
      <w:r>
        <w:rPr>
          <w:color w:val="000000"/>
          <w:szCs w:val="28"/>
          <w:lang w:val="it-IT"/>
        </w:rPr>
        <w:t>Tổ chức triển khai thực hiện tốt các Luật thuế sửa đổi, bổ sung và nhiệm vụ thu NSNN theo Nghị quyết HĐND tỉnh, đảm bảo thu đúng, đủ, kịp thời các khoản thuế, phí, lệ phí và thu khác vào NSNN, từng bước tái cơ cấu thu đảm bảo bền vững, phấn đấu thu NSNN vượt dự toán được HĐND tỉnh giao. Trong đó:</w:t>
      </w:r>
    </w:p>
    <w:p w:rsidR="00DE1D46" w:rsidRDefault="00040FCE">
      <w:pPr>
        <w:pStyle w:val="Bodytextindent"/>
        <w:spacing w:before="60" w:after="60"/>
        <w:ind w:firstLine="567"/>
        <w:rPr>
          <w:color w:val="000000"/>
          <w:spacing w:val="-2"/>
          <w:szCs w:val="28"/>
        </w:rPr>
      </w:pPr>
      <w:r>
        <w:rPr>
          <w:color w:val="000000"/>
          <w:spacing w:val="-2"/>
          <w:szCs w:val="28"/>
          <w:lang w:val="de-DE"/>
        </w:rPr>
        <w:t>- Đẩy mạnh công tác tuyên truyền, phổ biến, hướng dẫn thực hiện Luật Quản lý thuế, các chế độ, chính sách thu của Nhà nước; phát huy kết quả thực hiện cải cách thủ tục hành chính, tạo điều kiện thuận lợi cho các tổ chức, cá nhân kịp thời thu nộp các khoản thuế vào ngân sách nhà nước, đảm bảo thực hiện đầy đủ các ưu đãi về thuế</w:t>
      </w:r>
      <w:r>
        <w:rPr>
          <w:color w:val="000000"/>
          <w:spacing w:val="-2"/>
          <w:szCs w:val="28"/>
          <w:lang w:val="vi-VN"/>
        </w:rPr>
        <w:t xml:space="preserve">; </w:t>
      </w:r>
    </w:p>
    <w:p w:rsidR="00DE1D46" w:rsidRDefault="00040FCE">
      <w:pPr>
        <w:pStyle w:val="Bodytextindent"/>
        <w:spacing w:before="60" w:after="60"/>
        <w:ind w:firstLine="567"/>
        <w:rPr>
          <w:color w:val="000000"/>
          <w:szCs w:val="28"/>
          <w:lang w:val="it-IT"/>
        </w:rPr>
      </w:pPr>
      <w:r>
        <w:rPr>
          <w:color w:val="000000"/>
          <w:spacing w:val="-2"/>
          <w:szCs w:val="28"/>
          <w:lang w:val="de-DE"/>
        </w:rPr>
        <w:t xml:space="preserve">- Phân tích kết quả thực hiện nhiệm vụ thu thuế năm 2019, triển khai quyết liệt các biện pháp thu thuế trong năm 2020, trong đó, chú trọng việc giao chỉ tiêu thu cho từng Phòng chuyên môn thuộc Cục Thuế, các Chi cục Thuế, đội thuế và cán bộ Thuế. Đồng thời, chỉ đạo các đơn vị trực thuộc </w:t>
      </w:r>
      <w:r>
        <w:rPr>
          <w:color w:val="000000"/>
          <w:szCs w:val="28"/>
          <w:lang w:val="it-IT"/>
        </w:rPr>
        <w:t>chủ động phối hợp với các Sở, ban, ngành và đơn vị có liên quan tăng cường công tác kiểm tra, chống thất thu đối với khu vực kinh tế ngoài quốc doanh, đặc biệt là các hoạt động kinh doanh trong các lĩnh vực lưu trú, dịch vụ ăn uống, kinh doanh vận tải...</w:t>
      </w:r>
    </w:p>
    <w:p w:rsidR="00DE1D46" w:rsidRDefault="00040FCE">
      <w:pPr>
        <w:pStyle w:val="Bodytextindent"/>
        <w:spacing w:before="60" w:after="60"/>
        <w:ind w:firstLine="567"/>
        <w:rPr>
          <w:color w:val="000000"/>
          <w:szCs w:val="28"/>
          <w:lang w:val="it-IT"/>
        </w:rPr>
      </w:pPr>
      <w:r>
        <w:rPr>
          <w:color w:val="000000"/>
          <w:spacing w:val="-2"/>
          <w:szCs w:val="28"/>
        </w:rPr>
        <w:lastRenderedPageBreak/>
        <w:t xml:space="preserve">- </w:t>
      </w:r>
      <w:r>
        <w:rPr>
          <w:color w:val="000000"/>
          <w:szCs w:val="28"/>
          <w:lang w:val="nl-NL"/>
        </w:rPr>
        <w:t>Tăng cường công tác thanh tra, kiểm tra thuế, xử lý nợ đọng thuế, giảm dần nợ cũ, đưa số nợ thuế giảm xuống dưới 5% tổng số thu NSNN, công tác quản lý hoàn thuế giá trị gia tăng, thực hiện kiểm tra trước, hoàn thuế sau đối với 100% các trường hợp có rủi ro cao, kịp thời phát hiện, xử lý nghiêm đối với hành vi gian lận, lợi dụng chính sách hoàn thuế;</w:t>
      </w:r>
      <w:r>
        <w:rPr>
          <w:color w:val="000000"/>
          <w:szCs w:val="28"/>
          <w:lang w:val="it-IT"/>
        </w:rPr>
        <w:t xml:space="preserve"> </w:t>
      </w:r>
    </w:p>
    <w:p w:rsidR="00DE1D46" w:rsidRDefault="00040FCE">
      <w:pPr>
        <w:pStyle w:val="Bodytextindent"/>
        <w:spacing w:before="60" w:after="60"/>
        <w:ind w:firstLine="567"/>
        <w:rPr>
          <w:color w:val="000000"/>
          <w:szCs w:val="28"/>
          <w:lang w:val="it-IT"/>
        </w:rPr>
      </w:pPr>
      <w:r>
        <w:rPr>
          <w:color w:val="000000"/>
          <w:szCs w:val="28"/>
          <w:lang w:val="it-IT"/>
        </w:rPr>
        <w:t>- Tiếp tục triển khai thực hiện các quy định về: sử dụng hóa đơn điện tử, hóa đơn điện tử có mã xác nhận của cơ quan thuế;</w:t>
      </w:r>
      <w:r>
        <w:rPr>
          <w:i/>
          <w:color w:val="000000"/>
          <w:szCs w:val="28"/>
          <w:lang w:val="it-IT"/>
        </w:rPr>
        <w:t xml:space="preserve"> </w:t>
      </w:r>
      <w:r>
        <w:rPr>
          <w:color w:val="000000"/>
          <w:szCs w:val="28"/>
          <w:lang w:val="it-IT"/>
        </w:rPr>
        <w:t>khai, nộp lệ phí trước bạ điện tử đối với ô tô, xe máy và trao đổi dữ liệu điện tử thu nộp lệ phí trước bạ đối với ô tô, xe máy.</w:t>
      </w:r>
    </w:p>
    <w:p w:rsidR="00DE1D46" w:rsidRDefault="00040FCE">
      <w:pPr>
        <w:pStyle w:val="Bodytextindent"/>
        <w:spacing w:before="60" w:after="60"/>
        <w:ind w:firstLine="567"/>
        <w:rPr>
          <w:color w:val="000000"/>
          <w:spacing w:val="-2"/>
          <w:szCs w:val="28"/>
          <w:lang w:val="de-DE"/>
        </w:rPr>
      </w:pPr>
      <w:r>
        <w:rPr>
          <w:color w:val="000000"/>
          <w:spacing w:val="-2"/>
          <w:szCs w:val="28"/>
          <w:lang w:val="de-DE"/>
        </w:rPr>
        <w:t>- P</w:t>
      </w:r>
      <w:r>
        <w:rPr>
          <w:color w:val="000000"/>
          <w:spacing w:val="-2"/>
          <w:szCs w:val="28"/>
          <w:lang w:val="it-IT"/>
        </w:rPr>
        <w:t>hối hợp với các đơn vị liên quan để nắm bắt kế hoạch triển khai các dự án mới, nhất là các dự án trọng điểm của tỉnh, các dự án trong Khu công nghiệp để có biện pháp quản lý thuế kịp thời.</w:t>
      </w:r>
    </w:p>
    <w:p w:rsidR="00DE1D46" w:rsidRDefault="00040FCE">
      <w:pPr>
        <w:pStyle w:val="Bodytextindent"/>
        <w:spacing w:before="60" w:after="60"/>
        <w:ind w:firstLine="567"/>
        <w:rPr>
          <w:color w:val="000000"/>
          <w:spacing w:val="-2"/>
          <w:szCs w:val="28"/>
          <w:lang w:val="de-DE"/>
        </w:rPr>
      </w:pPr>
      <w:r>
        <w:rPr>
          <w:color w:val="000000"/>
          <w:spacing w:val="-2"/>
          <w:szCs w:val="28"/>
          <w:lang w:val="de-DE"/>
        </w:rPr>
        <w:t>b) Các Sở, Ban, ngành và UBND các huyện, thị xã, thành phố</w:t>
      </w:r>
    </w:p>
    <w:p w:rsidR="00DE1D46" w:rsidRDefault="00040FCE">
      <w:pPr>
        <w:pStyle w:val="Bodytextindent"/>
        <w:spacing w:before="60" w:after="60"/>
        <w:ind w:firstLine="567"/>
        <w:rPr>
          <w:color w:val="000000"/>
          <w:szCs w:val="28"/>
          <w:lang w:val="it-IT"/>
        </w:rPr>
      </w:pPr>
      <w:r>
        <w:rPr>
          <w:color w:val="000000"/>
          <w:spacing w:val="-2"/>
          <w:szCs w:val="28"/>
          <w:lang w:val="de-DE"/>
        </w:rPr>
        <w:t>- Thủ trưởng các Sở, Ban, ngành, Chủ tịch UBND các huyện, thị xã, thành phố chỉ đạo các cơ quan chuyên môn p</w:t>
      </w:r>
      <w:r>
        <w:rPr>
          <w:color w:val="000000"/>
          <w:szCs w:val="28"/>
          <w:lang w:val="it-IT"/>
        </w:rPr>
        <w:t>hối hợp và tạo điều kiện tốt nhất cho ngành Thuế thực hiện hoàn thành nhiệm vụ được giao.</w:t>
      </w:r>
    </w:p>
    <w:p w:rsidR="00DE1D46" w:rsidRDefault="00040FCE">
      <w:pPr>
        <w:pStyle w:val="Bodytextindent"/>
        <w:spacing w:before="60" w:after="60"/>
        <w:ind w:firstLine="567"/>
        <w:rPr>
          <w:color w:val="000000"/>
          <w:szCs w:val="28"/>
          <w:lang w:val="it-IT"/>
        </w:rPr>
      </w:pPr>
      <w:r>
        <w:rPr>
          <w:color w:val="000000"/>
          <w:szCs w:val="28"/>
          <w:lang w:val="it-IT"/>
        </w:rPr>
        <w:t>- Thực hiện tốt Quy chế phối hợp trong công tác thu, nộp ngân sách nhà nước trên địa bàn tỉnh theo Quyết định số 2116/QĐ-UBND ngày 14/6/2017 của UBND tỉnh, trong đó, lưu ý việc kết nối thông tin phục vụ công tác thu thuế giữa ngành Thuế với các cơ quan chức năng; thực hiện biện pháp khấu trừ nộp ngân sách khi được thông báo vốn thanh toán khối lượng hoàn thành đối với các dự án, công trình đầu tư từ nguồn NSNN.</w:t>
      </w:r>
    </w:p>
    <w:p w:rsidR="00DE1D46" w:rsidRDefault="00040FCE">
      <w:pPr>
        <w:pStyle w:val="Bodytextindent"/>
        <w:spacing w:before="60" w:after="60"/>
        <w:ind w:firstLine="567"/>
        <w:rPr>
          <w:color w:val="000000"/>
          <w:spacing w:val="-2"/>
          <w:szCs w:val="28"/>
          <w:lang w:val="sv-SE"/>
        </w:rPr>
      </w:pPr>
      <w:r>
        <w:rPr>
          <w:color w:val="000000"/>
          <w:szCs w:val="28"/>
          <w:lang w:val="it-IT"/>
        </w:rPr>
        <w:t>- Tiếp tục t</w:t>
      </w:r>
      <w:r>
        <w:rPr>
          <w:color w:val="000000"/>
          <w:spacing w:val="-2"/>
          <w:szCs w:val="28"/>
          <w:lang w:val="sv-SE"/>
        </w:rPr>
        <w:t>riển khai tốt việc vận hành “Phần mềm quản lý lưu trú” trên địa bàn toàn tỉnh, nhằm chống thất thu trong lĩnh vực kinh doanh khách sạn, nhà nghỉ... tăng thu cho ngân sách nhà nước.</w:t>
      </w:r>
    </w:p>
    <w:p w:rsidR="00DE1D46" w:rsidRDefault="00040FCE">
      <w:pPr>
        <w:pStyle w:val="Bodytextindent"/>
        <w:spacing w:before="60" w:after="60"/>
        <w:ind w:firstLine="567"/>
        <w:rPr>
          <w:color w:val="000000"/>
          <w:szCs w:val="28"/>
          <w:lang w:val="nl-NL"/>
        </w:rPr>
      </w:pPr>
      <w:r>
        <w:rPr>
          <w:color w:val="000000"/>
          <w:szCs w:val="28"/>
          <w:lang w:val="nl-NL"/>
        </w:rPr>
        <w:t xml:space="preserve">- Tổ chức kiểm tra, thẩm định, phê duyệt mức thu tiền cấp quyền khai thác khoáng sản, tài nguyên nước đúng </w:t>
      </w:r>
      <w:r w:rsidR="00DF3640">
        <w:rPr>
          <w:color w:val="000000"/>
          <w:szCs w:val="28"/>
          <w:lang w:val="nl-NL"/>
        </w:rPr>
        <w:t xml:space="preserve">theo </w:t>
      </w:r>
      <w:r>
        <w:rPr>
          <w:color w:val="000000"/>
          <w:szCs w:val="28"/>
          <w:lang w:val="nl-NL"/>
        </w:rPr>
        <w:t xml:space="preserve">quy định; quản lý chặt chẽ việc khai thác khoáng sản và thực hiện chuyển thông tin kịp thời cho cơ quan thuế để quản lý tốt nguồn thu này. </w:t>
      </w:r>
    </w:p>
    <w:p w:rsidR="00DE1D46" w:rsidRDefault="00040FCE">
      <w:pPr>
        <w:pStyle w:val="Bodytextindent"/>
        <w:spacing w:before="60" w:after="60"/>
        <w:ind w:firstLine="567"/>
        <w:rPr>
          <w:color w:val="000000"/>
          <w:szCs w:val="28"/>
          <w:lang w:val="it-IT"/>
        </w:rPr>
      </w:pPr>
      <w:r>
        <w:rPr>
          <w:color w:val="000000"/>
          <w:spacing w:val="-2"/>
          <w:szCs w:val="28"/>
          <w:lang w:val="it-IT"/>
        </w:rPr>
        <w:t xml:space="preserve">- </w:t>
      </w:r>
      <w:r>
        <w:rPr>
          <w:bCs/>
          <w:color w:val="000000"/>
          <w:spacing w:val="-2"/>
          <w:szCs w:val="28"/>
          <w:lang w:val="it-IT"/>
        </w:rPr>
        <w:t xml:space="preserve">Tăng cường công tác quản lý giá: kiểm tra, giám sát việc chấp hành pháp luật về quản lý giá; minh bạch hóa thông tin về giá để tạo sự đồng thuận trong xã hội, kiên quyết xử lý các hành vi vi phạm pháp luật về giá. </w:t>
      </w:r>
      <w:r>
        <w:rPr>
          <w:color w:val="000000"/>
          <w:szCs w:val="28"/>
          <w:lang w:val="it-IT"/>
        </w:rPr>
        <w:t>Đẩy mạnh công tác kiểm tra thu phí, lệ phí, bảo đảm việc thu đúng quy định của Nhà nước.</w:t>
      </w:r>
    </w:p>
    <w:p w:rsidR="00DE1D46" w:rsidRDefault="00040FCE">
      <w:pPr>
        <w:pStyle w:val="Bodytextindent"/>
        <w:spacing w:before="60" w:after="60"/>
        <w:ind w:firstLine="567"/>
        <w:rPr>
          <w:color w:val="000000"/>
          <w:szCs w:val="28"/>
          <w:lang w:val="nl-NL"/>
        </w:rPr>
      </w:pPr>
      <w:r>
        <w:rPr>
          <w:color w:val="000000"/>
          <w:szCs w:val="28"/>
          <w:lang w:val="nl-NL"/>
        </w:rPr>
        <w:t xml:space="preserve">- Rà soát, tăng cường khai thác nguồn lực tài chính từ tài sản công (đất đai, tài nguyên, tài sản tại khu vực sự nghiệp công, tài sản là các loại kết cấu hạ tầng giao thông) nhằm huy động vốn cho phát triển kinh tế - xã hội. Rà soát lại quỹ nhà, đất thuộc cấp mình quản lý để lập phương án sắp xếp phù hợp. Trường hợp dôi dư, không cần sử dụng hoặc sử dụng không đúng mục đích thì lập kế hoạch thu hồi để trình cấp có thẩm quyền cho xử lý, nhằm tăng thu ngân sách nhà nước. </w:t>
      </w:r>
    </w:p>
    <w:p w:rsidR="00DE1D46" w:rsidRDefault="00040FCE">
      <w:pPr>
        <w:pStyle w:val="Bodytextindent"/>
        <w:spacing w:before="60" w:after="60"/>
        <w:ind w:firstLine="567"/>
        <w:rPr>
          <w:color w:val="000000"/>
          <w:szCs w:val="28"/>
          <w:lang w:val="nl-NL"/>
        </w:rPr>
      </w:pPr>
      <w:r>
        <w:rPr>
          <w:color w:val="000000"/>
          <w:szCs w:val="28"/>
          <w:lang w:val="nl-NL"/>
        </w:rPr>
        <w:t xml:space="preserve">- Tiếp tục đẩy nhanh tiến độ thực hiện các dự án, công trình; đầu tư kết cấu hạ tầng các khu công nghiệp, khu kinh tế, cụm công nghiệp, tiểu thủ công nghiệp để đưa nhanh vào hoạt động; tạo điều kiện cho các doanh nghiệp có mặt bằng để đầu tư phát triển sản xuất kinh doanh, xem đây là biện pháp lâu dài, cơ bản để tăng thu ngân sách. </w:t>
      </w:r>
    </w:p>
    <w:p w:rsidR="00DE1D46" w:rsidRDefault="00040FCE">
      <w:pPr>
        <w:pStyle w:val="Bodytextindent"/>
        <w:spacing w:before="60" w:after="60"/>
        <w:ind w:firstLine="567"/>
        <w:rPr>
          <w:b/>
          <w:bCs/>
          <w:color w:val="000000"/>
          <w:szCs w:val="28"/>
          <w:lang w:val="it-IT"/>
        </w:rPr>
      </w:pPr>
      <w:r>
        <w:rPr>
          <w:b/>
          <w:bCs/>
          <w:color w:val="000000"/>
          <w:szCs w:val="28"/>
          <w:lang w:val="vi-VN"/>
        </w:rPr>
        <w:t>2. Chi ngân sách địa phương</w:t>
      </w:r>
    </w:p>
    <w:p w:rsidR="00DE1D46" w:rsidRDefault="00040FCE">
      <w:pPr>
        <w:spacing w:before="60" w:after="60"/>
        <w:ind w:firstLine="567"/>
        <w:jc w:val="both"/>
        <w:rPr>
          <w:color w:val="000000"/>
          <w:sz w:val="28"/>
          <w:szCs w:val="28"/>
          <w:lang w:val="it-IT"/>
        </w:rPr>
      </w:pPr>
      <w:r>
        <w:rPr>
          <w:color w:val="000000"/>
          <w:sz w:val="28"/>
          <w:szCs w:val="28"/>
          <w:lang w:val="it-IT"/>
        </w:rPr>
        <w:lastRenderedPageBreak/>
        <w:t>- Thủ tr</w:t>
      </w:r>
      <w:r>
        <w:rPr>
          <w:rFonts w:hint="eastAsia"/>
          <w:color w:val="000000"/>
          <w:sz w:val="28"/>
          <w:szCs w:val="28"/>
          <w:lang w:val="it-IT"/>
        </w:rPr>
        <w:t>ư</w:t>
      </w:r>
      <w:r>
        <w:rPr>
          <w:color w:val="000000"/>
          <w:sz w:val="28"/>
          <w:szCs w:val="28"/>
          <w:lang w:val="it-IT"/>
        </w:rPr>
        <w:t>ởng các Sở, Ban, ngành, Chủ tịch UBND các huyện, thị xã, thành phố chỉ đạo việc phân bổ và giao dự toán thu, chi ngân sách cho các đơn vị trực thuộc đúng nội dung, trình tự và thời gian theo quy định của Luật NSNN.</w:t>
      </w:r>
    </w:p>
    <w:p w:rsidR="00DE1D46" w:rsidRDefault="00040FCE">
      <w:pPr>
        <w:spacing w:before="60" w:after="60"/>
        <w:ind w:firstLine="567"/>
        <w:jc w:val="both"/>
        <w:rPr>
          <w:color w:val="000000"/>
          <w:szCs w:val="28"/>
          <w:lang w:val="nl-NL"/>
        </w:rPr>
      </w:pPr>
      <w:r>
        <w:rPr>
          <w:color w:val="000000"/>
          <w:sz w:val="28"/>
          <w:szCs w:val="28"/>
          <w:lang w:val="it-IT"/>
        </w:rPr>
        <w:t>- Triển khai điều hành dự toán ngân sách ngay đầu năm trong phạm vi dự toán được cấp có thẩm quyền phê duyệt và đúng chế độ quy định; bám sát tồn quỹ ngân sách của cấp mình để đảm bảo nguồn thực hiện các nhiệm vụ chi, trong đó đặc biệt đảm bảo chi lương và các khoản liên quan đến con người, đảm bảo hoạt động thường xuyên của các cơ quan, đơn vị. Thực hiện cơ cấu lại các khoản chi NSNN theo hướng tiết kiệm chi thường xuyên để dành nguồn cho đầu tư phát triển và nâng cao hiệu quả sử dụng NSNN. Điều hành ngân sách năm 2020 chủ động, tích cực, đảm bảo an sinh xã hội và các cân đối lớn.</w:t>
      </w:r>
    </w:p>
    <w:p w:rsidR="00DE1D46" w:rsidRDefault="00040FCE">
      <w:pPr>
        <w:spacing w:before="60" w:after="60"/>
        <w:ind w:firstLine="567"/>
        <w:jc w:val="both"/>
        <w:rPr>
          <w:color w:val="000000"/>
          <w:sz w:val="28"/>
          <w:szCs w:val="28"/>
          <w:lang w:val="da-DK"/>
        </w:rPr>
      </w:pPr>
      <w:r>
        <w:rPr>
          <w:color w:val="000000"/>
          <w:sz w:val="28"/>
          <w:szCs w:val="28"/>
          <w:lang w:val="da-DK"/>
        </w:rPr>
        <w:t>- Thực hiện quản lý chặt chẽ các dự án đầu tư công đảm bảo hiệu quả, tránh dàn trải, kết hợp với nâng cao chất lượng quản lý đầu tư để tăng hiệu quả sử dụng vốn đầu tư từ ngân sách. Rà soát hoàn thiện các thủ tục đầu tư, đẩy nhanh tiến độ công tác giải phóng mặt bằng, triển khai thực hiện ngay từ đầu năm các dự án được giao kế hoạch năm 2020. Tiếp tục rà soát, thực hiện cải cách hành chính đối với các thủ tục về đầu tư xây dựng, về bồi thường giải phóng mặt bằng, thu hồi đất,... đẩy nhanh tiến độ thực hiện và giải ngân vốn đầu tư xây dựng cơ bản, nâng cao hiệu quả sử dụng vốn đầu tư. Các địa phương được ngân sách tỉnh hỗ trợ có mục tiêu triển khai một số dự án, có trách nhiệm bố trí phần vốn còn lại để đảm bảo hoàn thành các công trình ngoài phần vốn hỗ trợ của ngân sách tỉnh.</w:t>
      </w:r>
    </w:p>
    <w:p w:rsidR="00DE1D46" w:rsidRDefault="00040FCE">
      <w:pPr>
        <w:pStyle w:val="Bodytextindent"/>
        <w:spacing w:before="60" w:after="60"/>
        <w:ind w:firstLine="567"/>
        <w:rPr>
          <w:color w:val="000000"/>
          <w:szCs w:val="28"/>
          <w:lang w:val="nl-NL"/>
        </w:rPr>
      </w:pPr>
      <w:r>
        <w:rPr>
          <w:color w:val="000000"/>
          <w:szCs w:val="28"/>
          <w:lang w:val="nl-NL"/>
        </w:rPr>
        <w:t>- Điều hành chi ngân sách theo dự toán được giao. Thực hiện tiết kiệm triệt để các khoản chi thường xuyên; giảm tối đa kinh phí tổ chức hội nghị, hội thảo, khánh tiết; hạn chế bố trí kinh phí đi nghiên cứu, khảo sát trong và ngoài nước; thực hiện công tác mua sắm theo quy định của Trung ương; đẩy mạnh cải cách hành chính trong quản lý chi ngân sách nhà nước. Quản lý chặt chẽ việc ứng trước dự toán ngân sách nhà nước và chi chuyển nguồn sang năm sau.</w:t>
      </w:r>
    </w:p>
    <w:p w:rsidR="00DE1D46" w:rsidRDefault="00040FCE">
      <w:pPr>
        <w:pStyle w:val="Bodytextindent"/>
        <w:spacing w:before="60" w:after="60"/>
        <w:ind w:firstLine="567"/>
        <w:rPr>
          <w:color w:val="000000"/>
          <w:szCs w:val="28"/>
          <w:lang w:val="da-DK"/>
        </w:rPr>
      </w:pPr>
      <w:r>
        <w:rPr>
          <w:color w:val="000000"/>
          <w:szCs w:val="28"/>
          <w:lang w:val="da-DK"/>
        </w:rPr>
        <w:t xml:space="preserve">- Các huyện, thị xã, thành phố chủ động sử dụng dự phòng và các nguồn lực hợp pháp của địa phương để xử lý các nhiệm vụ cấp thiết về quốc phòng, an ninh, khắc phục hậu quả thiên tai, dịch bệnh và các nhiệm vụ chi quan trọng, cấp bách, đột xuất phát sinh theo quy định; ngân sách tỉnh chỉ hỗ trợ khi các địa phương đã sử dụng dự phòng của địa phương để xử lý theo quy định. </w:t>
      </w:r>
    </w:p>
    <w:p w:rsidR="00DE1D46" w:rsidRDefault="00040FCE">
      <w:pPr>
        <w:pStyle w:val="Bodytextindent"/>
        <w:spacing w:before="60" w:after="60"/>
        <w:ind w:firstLine="567"/>
        <w:rPr>
          <w:color w:val="000000"/>
          <w:szCs w:val="28"/>
          <w:lang w:val="da-DK"/>
        </w:rPr>
      </w:pPr>
      <w:r>
        <w:rPr>
          <w:color w:val="000000"/>
          <w:szCs w:val="28"/>
          <w:lang w:val="da-DK"/>
        </w:rPr>
        <w:t>- Tiếp tục cơ cấu lại và đổi mới cơ chế tài chính đơn vị sự nghiệp công lập, giá dịch vụ công theo tinh thần Nghị quyết số 19-NQ/TW ngày 25/10/2018 của Ban Chấp hành Trung ương về tiếp tục đổi mới hệ thống tổ chức và quản lý, nâng cao chất lượng và hiệu quả hoạt động của các đơn vị sự nghiệp công lập. Các Sở ngành và UBND các huyện, thị xã, thành phố khẩn trương đẩy nhanh tiển độ triển khai cơ chế hoạt động tự chủ của đơn vị sự nghiệp công lập gắn với thúc đẩy lộ trình tính giá dịch vụ sự nghiệp công theo Nghị định số 16/2015/NĐ-CP ngày 14/02/2015 của Chính phủ. Tiếp tục triển khai thực hiện Kế hoạch số 61/KH-UBND ngày 15/10/2018 của UBND tỉnh về chuyển đổi các đơn vị sự nghiệp công lập thành Công ty cổ phần trên địa bàn tỉnh giai đoạn 2018 – 2020, đảm bảo đúng thời gian theo kế hoạch đề ra.</w:t>
      </w:r>
    </w:p>
    <w:p w:rsidR="00DE1D46" w:rsidRDefault="00040FCE">
      <w:pPr>
        <w:pStyle w:val="Bodytextindent"/>
        <w:spacing w:before="60" w:after="60"/>
        <w:ind w:firstLine="567"/>
        <w:rPr>
          <w:color w:val="000000"/>
          <w:szCs w:val="28"/>
          <w:lang w:val="nl-NL"/>
        </w:rPr>
      </w:pPr>
      <w:r>
        <w:rPr>
          <w:color w:val="000000"/>
          <w:szCs w:val="28"/>
          <w:lang w:val="da-DK"/>
        </w:rPr>
        <w:t xml:space="preserve">- </w:t>
      </w:r>
      <w:r>
        <w:rPr>
          <w:color w:val="000000"/>
          <w:szCs w:val="28"/>
          <w:lang w:val="nl-NL"/>
        </w:rPr>
        <w:t xml:space="preserve">Từ năm 2019, các địa phương chủ động dành 70% tăng thu thực hiện so với dự toán ngân sách tỉnh giao để tạo nguồn cải cách tiền lương trong năm 2020 và tích lũy cho giai đoạn 2021-2025 (từ năm 2018 trở về trước là 50%), phần còn lại </w:t>
      </w:r>
      <w:r>
        <w:rPr>
          <w:color w:val="000000"/>
          <w:szCs w:val="28"/>
          <w:lang w:val="nl-NL"/>
        </w:rPr>
        <w:lastRenderedPageBreak/>
        <w:t>ưu tiên để chi trả các khoản ngân sách nợ và chi đầu tư xây dựng kết cấu hạ tầng; phần kinh phí từ giảm chi hoạt động thường xuyên của lĩnh vực hành chính và hỗ trợ các đơn vị sự nghiệp công lập, được sử dụng theo nguyên tắc: dành 50% bổ sung nguồn cải cách tiền lương để thực hiện chi trả tiền lương tăng thêm do tăng mức lương cơ sở trong lĩnh vực hành chính và các lĩnh vực có đơn vị sự nghiệp; dành 50% còn lại thực hiện chi trả các chính sách an sinh xã hội do địa phương ban hành và tăng chi cho nhiệm vụ tăng cường cơ sở vật chất của lĩnh vực tương ứng.</w:t>
      </w:r>
    </w:p>
    <w:p w:rsidR="00DE1D46" w:rsidRDefault="00040FCE">
      <w:pPr>
        <w:pStyle w:val="Bodytextindent"/>
        <w:spacing w:before="60" w:after="60"/>
        <w:ind w:firstLine="567"/>
        <w:rPr>
          <w:color w:val="000000"/>
          <w:szCs w:val="28"/>
          <w:lang w:val="it-IT"/>
        </w:rPr>
      </w:pPr>
      <w:r>
        <w:rPr>
          <w:color w:val="000000"/>
          <w:szCs w:val="28"/>
          <w:lang w:val="it-IT"/>
        </w:rPr>
        <w:t xml:space="preserve">- </w:t>
      </w:r>
      <w:r>
        <w:rPr>
          <w:color w:val="000000"/>
          <w:szCs w:val="28"/>
          <w:lang w:val="da-DK"/>
        </w:rPr>
        <w:t xml:space="preserve">Tiếp tục thực hiện tốt quy định mua sắm tài sản nhà nước theo phương thức tập trung, quy định </w:t>
      </w:r>
      <w:r>
        <w:rPr>
          <w:color w:val="000000"/>
          <w:szCs w:val="28"/>
          <w:lang w:val="it-IT"/>
        </w:rPr>
        <w:t>sử dụng tài sản công vào mục đích kinh doanh, cho thuê, liên doanh liên kết theo Nghị định số 151/2017/NĐ-CP của Chính phủ; việc sắp xếp lại, xử lý tài sản công thực hiện theo quy định tại Nghị định số 167/2017/NĐ-CP của Chính phủ, đảm bảo việc sử dụng nhà đất, tài sản công đúng tiêu chuẩn, định mức, tiết kiệm, hiệu quả. Kiên quyết thu hồi để xử lý theo quy định các diện tích nhà, đất để hoang hóa, không sử dụng, sử dụng không đúng quy định (sử dụng tài sản công vào mục đích kinh doanh, cho thuê, liên danh liên kết không đúng quy định), thu hồi toàn bộ số tiền thu được từ sử dụng nhà, đất không đúng quy định vào NSNN.</w:t>
      </w:r>
    </w:p>
    <w:p w:rsidR="00DE1D46" w:rsidRDefault="00040FCE">
      <w:pPr>
        <w:pStyle w:val="Bodytextindent"/>
        <w:spacing w:before="60" w:after="60"/>
        <w:ind w:firstLine="567"/>
        <w:rPr>
          <w:color w:val="000000"/>
          <w:szCs w:val="28"/>
          <w:lang w:val="nl-NL"/>
        </w:rPr>
      </w:pPr>
      <w:r>
        <w:rPr>
          <w:color w:val="000000"/>
          <w:szCs w:val="28"/>
          <w:lang w:val="da-DK"/>
        </w:rPr>
        <w:t>- Triển khai thực hiện có hiệu quả Luật Phòng chống tham nhũng, Luật thực hiện tiết kiệm, chống lãng phí trong các lĩnh vực quản lý đất đai, đầu tư xây dựng, quản lý vốn, tài sản nhà nước; t</w:t>
      </w:r>
      <w:r>
        <w:rPr>
          <w:color w:val="000000"/>
          <w:szCs w:val="28"/>
          <w:lang w:val="nl-NL"/>
        </w:rPr>
        <w:t>hực hiện nghiêm chế độ thông tin, báo cáo, công khai ngân sách nhà n</w:t>
      </w:r>
      <w:r>
        <w:rPr>
          <w:rFonts w:hint="eastAsia"/>
          <w:color w:val="000000"/>
          <w:szCs w:val="28"/>
          <w:lang w:val="nl-NL"/>
        </w:rPr>
        <w:t>ư</w:t>
      </w:r>
      <w:r>
        <w:rPr>
          <w:color w:val="000000"/>
          <w:szCs w:val="28"/>
          <w:lang w:val="nl-NL"/>
        </w:rPr>
        <w:t xml:space="preserve">ớc theo quy </w:t>
      </w:r>
      <w:r>
        <w:rPr>
          <w:rFonts w:hint="eastAsia"/>
          <w:color w:val="000000"/>
          <w:szCs w:val="28"/>
          <w:lang w:val="nl-NL"/>
        </w:rPr>
        <w:t>đ</w:t>
      </w:r>
      <w:r>
        <w:rPr>
          <w:color w:val="000000"/>
          <w:szCs w:val="28"/>
          <w:lang w:val="nl-NL"/>
        </w:rPr>
        <w:t xml:space="preserve">ịnh; thực hiện nghiêm các kiến nghị của Kiểm toán Nhà nước, cơ quan Thanh tra các cấp. </w:t>
      </w:r>
    </w:p>
    <w:p w:rsidR="00DE1D46" w:rsidRDefault="00040FCE">
      <w:pPr>
        <w:pStyle w:val="Bodytextindent"/>
        <w:spacing w:before="60"/>
        <w:ind w:firstLine="567"/>
        <w:rPr>
          <w:color w:val="000000"/>
          <w:szCs w:val="28"/>
          <w:lang w:val="nl-NL"/>
        </w:rPr>
      </w:pPr>
      <w:r>
        <w:rPr>
          <w:color w:val="000000"/>
          <w:szCs w:val="28"/>
          <w:lang w:val="nl-NL"/>
        </w:rPr>
        <w:t>- Hệ thống Kho bạc Nhà nước trên địa bàn tập trung nhân lực, thực hiện cải cách hành chính trong cấp phát, thanh toán vốn theo quy định của Luật Ngân sách nhà nước và các văn bản hướng dẫn Luật. Đồng thời, tăng cường công tác kiểm soát chi theo quy định và chịu trách nhiệm về việc kiểm soát của mình.</w:t>
      </w:r>
    </w:p>
    <w:p w:rsidR="00DE1D46" w:rsidRDefault="00040FCE">
      <w:pPr>
        <w:pStyle w:val="Bodytextindent"/>
        <w:spacing w:before="60"/>
        <w:ind w:firstLine="567"/>
        <w:rPr>
          <w:color w:val="000000"/>
          <w:szCs w:val="28"/>
          <w:lang w:val="nl-NL"/>
        </w:rPr>
      </w:pPr>
      <w:r>
        <w:rPr>
          <w:color w:val="000000"/>
          <w:szCs w:val="28"/>
          <w:lang w:val="nl-NL"/>
        </w:rPr>
        <w:t>Sở Tài chính kính báo cáo UBND tỉnh chỉ đạo thực hiện./.</w:t>
      </w:r>
    </w:p>
    <w:p w:rsidR="00DE1D46" w:rsidRDefault="00DE1D46">
      <w:pPr>
        <w:pStyle w:val="Bodytextindent"/>
        <w:spacing w:before="60"/>
        <w:ind w:firstLine="567"/>
        <w:rPr>
          <w:color w:val="000000"/>
          <w:szCs w:val="28"/>
          <w:lang w:val="nl-NL"/>
        </w:rPr>
      </w:pPr>
    </w:p>
    <w:tbl>
      <w:tblPr>
        <w:tblStyle w:val="Normaltable"/>
        <w:tblW w:w="0" w:type="auto"/>
        <w:tblInd w:w="-108" w:type="dxa"/>
        <w:tblLook w:val="04A0"/>
      </w:tblPr>
      <w:tblGrid>
        <w:gridCol w:w="3936"/>
        <w:gridCol w:w="992"/>
        <w:gridCol w:w="3191"/>
      </w:tblGrid>
      <w:tr w:rsidR="00DE1D46">
        <w:tc>
          <w:tcPr>
            <w:tcW w:w="3936" w:type="dxa"/>
            <w:shd w:val="clear" w:color="auto" w:fill="auto"/>
          </w:tcPr>
          <w:p w:rsidR="00DE1D46" w:rsidRDefault="00040FCE">
            <w:pPr>
              <w:pStyle w:val="Bodytextindent"/>
              <w:spacing w:before="120"/>
              <w:ind w:firstLine="0"/>
              <w:rPr>
                <w:color w:val="000000"/>
                <w:szCs w:val="28"/>
                <w:lang w:val="nl-NL"/>
              </w:rPr>
            </w:pPr>
            <w:r>
              <w:rPr>
                <w:b/>
                <w:i/>
                <w:color w:val="000000"/>
                <w:sz w:val="24"/>
                <w:szCs w:val="28"/>
                <w:lang w:val="nl-NL"/>
              </w:rPr>
              <w:t>Nơi nhận:</w:t>
            </w:r>
            <w:r>
              <w:rPr>
                <w:color w:val="000000"/>
                <w:szCs w:val="28"/>
                <w:lang w:val="nl-NL"/>
              </w:rPr>
              <w:tab/>
            </w:r>
            <w:r>
              <w:rPr>
                <w:color w:val="000000"/>
                <w:szCs w:val="28"/>
                <w:lang w:val="nl-NL"/>
              </w:rPr>
              <w:tab/>
            </w:r>
            <w:r>
              <w:rPr>
                <w:color w:val="000000"/>
                <w:szCs w:val="28"/>
                <w:lang w:val="nl-NL"/>
              </w:rPr>
              <w:tab/>
            </w:r>
          </w:p>
          <w:p w:rsidR="00DE1D46" w:rsidRDefault="00040FCE">
            <w:pPr>
              <w:pStyle w:val="Bodytextindent"/>
              <w:ind w:firstLine="0"/>
              <w:rPr>
                <w:color w:val="000000"/>
                <w:szCs w:val="28"/>
                <w:lang w:val="nl-NL"/>
              </w:rPr>
            </w:pPr>
            <w:r>
              <w:rPr>
                <w:color w:val="000000"/>
                <w:sz w:val="22"/>
                <w:szCs w:val="28"/>
                <w:lang w:val="nl-NL"/>
              </w:rPr>
              <w:t>- UBND tỉnh;</w:t>
            </w:r>
            <w:r>
              <w:rPr>
                <w:color w:val="000000"/>
                <w:sz w:val="24"/>
                <w:szCs w:val="28"/>
                <w:lang w:val="nl-NL"/>
              </w:rPr>
              <w:tab/>
              <w:t xml:space="preserve">    </w:t>
            </w:r>
          </w:p>
          <w:p w:rsidR="00DE1D46" w:rsidRDefault="00040FCE">
            <w:pPr>
              <w:pStyle w:val="Bodytextindent"/>
              <w:ind w:firstLine="0"/>
              <w:rPr>
                <w:color w:val="000000"/>
                <w:sz w:val="22"/>
                <w:szCs w:val="28"/>
                <w:lang w:val="nl-NL"/>
              </w:rPr>
            </w:pPr>
            <w:r>
              <w:rPr>
                <w:color w:val="000000"/>
                <w:sz w:val="22"/>
                <w:szCs w:val="28"/>
                <w:lang w:val="nl-NL"/>
              </w:rPr>
              <w:t>- Sở, ban, ngành thuộc tỉnh;</w:t>
            </w:r>
          </w:p>
          <w:p w:rsidR="00DE1D46" w:rsidRDefault="00040FCE">
            <w:pPr>
              <w:pStyle w:val="Bodytextindent"/>
              <w:ind w:firstLine="0"/>
              <w:rPr>
                <w:color w:val="000000"/>
                <w:sz w:val="22"/>
                <w:szCs w:val="28"/>
                <w:lang w:val="nl-NL"/>
              </w:rPr>
            </w:pPr>
            <w:r>
              <w:rPr>
                <w:color w:val="000000"/>
                <w:sz w:val="22"/>
                <w:szCs w:val="28"/>
                <w:lang w:val="nl-NL"/>
              </w:rPr>
              <w:t>- UBND các H, TX, TP;</w:t>
            </w:r>
            <w:r>
              <w:rPr>
                <w:color w:val="000000"/>
                <w:sz w:val="22"/>
                <w:szCs w:val="28"/>
                <w:lang w:val="nl-NL"/>
              </w:rPr>
              <w:tab/>
            </w:r>
          </w:p>
          <w:p w:rsidR="00DE1D46" w:rsidRDefault="00040FCE">
            <w:pPr>
              <w:pStyle w:val="Bodytextindent"/>
              <w:ind w:firstLine="0"/>
              <w:rPr>
                <w:b/>
                <w:i/>
                <w:color w:val="000000"/>
                <w:sz w:val="24"/>
                <w:szCs w:val="28"/>
              </w:rPr>
            </w:pPr>
            <w:r>
              <w:rPr>
                <w:color w:val="000000"/>
                <w:sz w:val="22"/>
                <w:szCs w:val="28"/>
              </w:rPr>
              <w:t>- Lưu: VT, QLNS.</w:t>
            </w:r>
          </w:p>
        </w:tc>
        <w:tc>
          <w:tcPr>
            <w:tcW w:w="992" w:type="dxa"/>
            <w:shd w:val="clear" w:color="auto" w:fill="auto"/>
          </w:tcPr>
          <w:p w:rsidR="00DE1D46" w:rsidRDefault="00DE1D46">
            <w:pPr>
              <w:pStyle w:val="Bodytextindent"/>
              <w:spacing w:before="120"/>
              <w:ind w:firstLine="0"/>
              <w:rPr>
                <w:b/>
                <w:i/>
                <w:color w:val="000000"/>
                <w:sz w:val="24"/>
                <w:szCs w:val="28"/>
                <w:lang w:val="nl-NL"/>
              </w:rPr>
            </w:pPr>
          </w:p>
        </w:tc>
        <w:tc>
          <w:tcPr>
            <w:tcW w:w="3191" w:type="dxa"/>
            <w:shd w:val="clear" w:color="auto" w:fill="auto"/>
          </w:tcPr>
          <w:p w:rsidR="00DE1D46" w:rsidRDefault="00040FCE">
            <w:pPr>
              <w:pStyle w:val="Bodytextindent"/>
              <w:spacing w:before="120"/>
              <w:ind w:firstLine="0"/>
              <w:jc w:val="center"/>
              <w:rPr>
                <w:b/>
                <w:color w:val="000000"/>
                <w:szCs w:val="28"/>
              </w:rPr>
            </w:pPr>
            <w:r>
              <w:rPr>
                <w:b/>
                <w:color w:val="000000"/>
                <w:szCs w:val="28"/>
              </w:rPr>
              <w:t>GIÁM ĐỐC</w:t>
            </w:r>
          </w:p>
          <w:p w:rsidR="00DE1D46" w:rsidRDefault="00DE1D46">
            <w:pPr>
              <w:pStyle w:val="Bodytextindent"/>
              <w:spacing w:before="360"/>
              <w:ind w:firstLine="0"/>
              <w:jc w:val="center"/>
              <w:rPr>
                <w:b/>
                <w:color w:val="000000"/>
                <w:szCs w:val="28"/>
              </w:rPr>
            </w:pPr>
          </w:p>
          <w:p w:rsidR="00DE1D46" w:rsidRDefault="00DE1D46">
            <w:pPr>
              <w:pStyle w:val="Bodytextindent"/>
              <w:spacing w:before="120"/>
              <w:ind w:firstLine="0"/>
              <w:jc w:val="center"/>
              <w:rPr>
                <w:b/>
                <w:color w:val="000000"/>
                <w:szCs w:val="28"/>
              </w:rPr>
            </w:pPr>
          </w:p>
          <w:p w:rsidR="00DE1D46" w:rsidRDefault="00DE1D46">
            <w:pPr>
              <w:pStyle w:val="Bodytextindent"/>
              <w:spacing w:before="120"/>
              <w:ind w:firstLine="0"/>
              <w:jc w:val="center"/>
              <w:rPr>
                <w:b/>
                <w:color w:val="000000"/>
                <w:szCs w:val="28"/>
              </w:rPr>
            </w:pPr>
          </w:p>
          <w:p w:rsidR="00DE1D46" w:rsidRDefault="00040FCE">
            <w:pPr>
              <w:pStyle w:val="Bodytextindent"/>
              <w:ind w:firstLine="0"/>
              <w:jc w:val="center"/>
              <w:rPr>
                <w:b/>
                <w:i/>
                <w:color w:val="000000"/>
                <w:sz w:val="24"/>
                <w:szCs w:val="28"/>
              </w:rPr>
            </w:pPr>
            <w:r>
              <w:rPr>
                <w:b/>
                <w:color w:val="000000"/>
                <w:szCs w:val="28"/>
              </w:rPr>
              <w:t>Lê Hoàng Nghi</w:t>
            </w:r>
          </w:p>
        </w:tc>
      </w:tr>
    </w:tbl>
    <w:p w:rsidR="00DE1D46" w:rsidRDefault="00DE1D46">
      <w:pPr>
        <w:pStyle w:val="Bodytextindent"/>
        <w:spacing w:before="120"/>
        <w:ind w:firstLine="0"/>
        <w:rPr>
          <w:b/>
          <w:i/>
          <w:sz w:val="24"/>
          <w:szCs w:val="28"/>
        </w:rPr>
      </w:pPr>
    </w:p>
    <w:p w:rsidR="00DE1D46" w:rsidRDefault="00DE1D46">
      <w:pPr>
        <w:pStyle w:val="Bodytextindent"/>
        <w:spacing w:before="120"/>
        <w:ind w:firstLine="0"/>
        <w:rPr>
          <w:b/>
          <w:i/>
          <w:sz w:val="24"/>
          <w:szCs w:val="28"/>
        </w:rPr>
      </w:pPr>
    </w:p>
    <w:p w:rsidR="00DE1D46" w:rsidRDefault="00DE1D46">
      <w:pPr>
        <w:pStyle w:val="Bodytextindent"/>
        <w:spacing w:before="120"/>
        <w:ind w:firstLine="0"/>
        <w:rPr>
          <w:color w:val="0000CC"/>
          <w:szCs w:val="28"/>
          <w:lang w:val="da-DK"/>
        </w:rPr>
      </w:pPr>
    </w:p>
    <w:p w:rsidR="00DE1D46" w:rsidRDefault="00DE1D46">
      <w:pPr>
        <w:pStyle w:val="Bodytextindent"/>
        <w:spacing w:before="120"/>
        <w:ind w:firstLine="0"/>
        <w:rPr>
          <w:color w:val="0000CC"/>
          <w:szCs w:val="28"/>
          <w:lang w:val="da-DK"/>
        </w:rPr>
      </w:pPr>
    </w:p>
    <w:p w:rsidR="00DE1D46" w:rsidRDefault="00DE1D46">
      <w:pPr>
        <w:pStyle w:val="Bodytextindent"/>
        <w:spacing w:before="120"/>
        <w:ind w:firstLine="0"/>
        <w:rPr>
          <w:color w:val="0000CC"/>
          <w:szCs w:val="28"/>
          <w:lang w:val="da-DK"/>
        </w:rPr>
      </w:pPr>
    </w:p>
    <w:p w:rsidR="00DE1D46" w:rsidRDefault="00DE1D46">
      <w:pPr>
        <w:pStyle w:val="Bodytextindent"/>
        <w:spacing w:before="120"/>
        <w:ind w:firstLine="0"/>
        <w:rPr>
          <w:color w:val="0000CC"/>
          <w:szCs w:val="28"/>
          <w:lang w:val="da-DK"/>
        </w:rPr>
      </w:pPr>
    </w:p>
    <w:p w:rsidR="00DE1D46" w:rsidRDefault="00DE1D46">
      <w:pPr>
        <w:pStyle w:val="Bodytextindent"/>
        <w:spacing w:before="120"/>
        <w:ind w:firstLine="0"/>
        <w:rPr>
          <w:color w:val="0000CC"/>
          <w:szCs w:val="28"/>
          <w:lang w:val="da-DK"/>
        </w:rPr>
      </w:pPr>
    </w:p>
    <w:p w:rsidR="00DE1D46" w:rsidRDefault="00DE1D46">
      <w:pPr>
        <w:pStyle w:val="Bodytextindent"/>
        <w:spacing w:before="120"/>
        <w:ind w:firstLine="0"/>
        <w:rPr>
          <w:color w:val="0000CC"/>
          <w:szCs w:val="28"/>
          <w:lang w:val="da-DK"/>
        </w:rPr>
      </w:pPr>
    </w:p>
    <w:p w:rsidR="00DE1D46" w:rsidRDefault="00DE1D46">
      <w:pPr>
        <w:pStyle w:val="Bodytextindent"/>
        <w:spacing w:before="120"/>
        <w:ind w:firstLine="0"/>
        <w:rPr>
          <w:color w:val="0000CC"/>
          <w:szCs w:val="28"/>
          <w:lang w:val="da-DK"/>
        </w:rPr>
      </w:pPr>
    </w:p>
    <w:p w:rsidR="00DE1D46" w:rsidRDefault="00DE1D46">
      <w:pPr>
        <w:pStyle w:val="Bodytextindent"/>
        <w:spacing w:before="120"/>
        <w:ind w:firstLine="0"/>
        <w:rPr>
          <w:color w:val="0000CC"/>
          <w:szCs w:val="28"/>
          <w:lang w:val="da-DK"/>
        </w:rPr>
      </w:pPr>
    </w:p>
    <w:p w:rsidR="00DE1D46" w:rsidRDefault="00DE1D46">
      <w:pPr>
        <w:pStyle w:val="Bodytextindent"/>
        <w:spacing w:before="120"/>
        <w:ind w:firstLine="0"/>
        <w:rPr>
          <w:color w:val="0000CC"/>
          <w:szCs w:val="28"/>
          <w:lang w:val="da-DK"/>
        </w:rPr>
      </w:pPr>
    </w:p>
    <w:p w:rsidR="00DE1D46" w:rsidRDefault="00040FCE">
      <w:pPr>
        <w:pStyle w:val="Bodytextindent"/>
        <w:spacing w:before="120"/>
        <w:ind w:firstLine="0"/>
        <w:rPr>
          <w:color w:val="FFFFFF"/>
          <w:szCs w:val="28"/>
          <w:lang w:val="da-DK"/>
        </w:rPr>
      </w:pPr>
      <w:r>
        <w:rPr>
          <w:color w:val="FFFFFF"/>
          <w:szCs w:val="28"/>
          <w:lang w:val="it-IT"/>
        </w:rPr>
        <w:t>Tiếp tục triển khai có hiệu quả công tác quản lý tài sản nhà nước trên địa bàn tỉnh theo quy định của Luật Quản lý, sử dụng tài sản công và các văn bản quy định chi tiết, hướng dẫn thi hành, đảm bảo kịp thời, thống nhất, đặc biệt là các nội dung liên quan đến tiêu chuẩn, định mức về tài sản chuyên dùng của các cơ quan, đơn vị;</w:t>
      </w:r>
    </w:p>
    <w:p w:rsidR="00DE1D46" w:rsidRDefault="00040FCE">
      <w:pPr>
        <w:pStyle w:val="Bodytextindent"/>
        <w:spacing w:before="120"/>
        <w:ind w:firstLine="0"/>
        <w:rPr>
          <w:color w:val="FFFFFF"/>
          <w:szCs w:val="28"/>
          <w:lang w:val="da-DK"/>
        </w:rPr>
      </w:pPr>
      <w:r>
        <w:rPr>
          <w:color w:val="FFFFFF"/>
          <w:szCs w:val="28"/>
          <w:lang w:val="da-DK"/>
        </w:rPr>
        <w:t>Kiểm soát chặt chẽ việc lập, thẩm định, phê duyệt quyết định chủ trương đầu tư, dự án đầu tư, thiết kế - dự toán công trình các dự án đầu tư theo đúng quy định của pháp luật.</w:t>
      </w:r>
    </w:p>
    <w:p w:rsidR="00DE1D46" w:rsidRDefault="00040FCE">
      <w:pPr>
        <w:pStyle w:val="Bodytextindent"/>
        <w:spacing w:before="60" w:after="60"/>
        <w:ind w:firstLine="567"/>
        <w:rPr>
          <w:color w:val="FFFFFF"/>
          <w:szCs w:val="28"/>
          <w:lang w:val="nl-NL"/>
        </w:rPr>
      </w:pPr>
      <w:r>
        <w:rPr>
          <w:color w:val="FFFFFF"/>
          <w:szCs w:val="28"/>
          <w:lang w:val="nl-NL"/>
        </w:rPr>
        <w:t>tiếp tục triển khai thực hiện các quy định của Chính phủ về chế độ tự chủ, tự chịu trách nhiệm về sử dụng biên chế và kinh phí quản lý hành chính đối với cơ quan nhà nước và chế độ tự chủ, tự chịu trách nhiệm về thực hiện nhiệm vụ, tổ chức bộ máy, biên chế và tài chính đối với đơn vị sự nghiệp công lập.</w:t>
      </w:r>
    </w:p>
    <w:p w:rsidR="00DE1D46" w:rsidRDefault="00040FCE">
      <w:pPr>
        <w:pStyle w:val="Bodytextindent"/>
        <w:spacing w:before="60" w:after="60"/>
        <w:ind w:firstLine="567"/>
        <w:rPr>
          <w:color w:val="FFFFFF"/>
          <w:szCs w:val="28"/>
          <w:lang w:val="nl-NL"/>
        </w:rPr>
      </w:pPr>
      <w:r>
        <w:rPr>
          <w:color w:val="FFFFFF"/>
          <w:szCs w:val="28"/>
          <w:lang w:val="nl-NL"/>
        </w:rPr>
        <w:t>chỉ đạo, kiểm tra, hướng dẫn các xã, phường, thị trấn thực hiện chi trả lương và phụ cấp cho cán bộ xã, phường, thị trấn và cán bộ thôn, bản, làng, khu vực kịp thời.</w:t>
      </w:r>
    </w:p>
    <w:p w:rsidR="00DE1D46" w:rsidRDefault="00DE1D46">
      <w:pPr>
        <w:pStyle w:val="Bodytextindent"/>
        <w:spacing w:before="120"/>
        <w:ind w:firstLine="0"/>
        <w:rPr>
          <w:b/>
          <w:i/>
          <w:color w:val="FFFFFF"/>
          <w:sz w:val="24"/>
          <w:szCs w:val="28"/>
        </w:rPr>
      </w:pPr>
    </w:p>
    <w:sectPr w:rsidR="00DE1D46" w:rsidSect="00DE1D46">
      <w:headerReference w:type="even" r:id="rId7"/>
      <w:footerReference w:type="default" r:id="rId8"/>
      <w:pgSz w:w="11907" w:h="16840"/>
      <w:pgMar w:top="851" w:right="851" w:bottom="567" w:left="1701" w:header="720" w:footer="266"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13AF" w:rsidRDefault="00BB13AF" w:rsidP="00DE1D46">
      <w:r>
        <w:separator/>
      </w:r>
    </w:p>
  </w:endnote>
  <w:endnote w:type="continuationSeparator" w:id="1">
    <w:p w:rsidR="00BB13AF" w:rsidRDefault="00BB13AF" w:rsidP="00DE1D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D46" w:rsidRDefault="00A67264">
    <w:pPr>
      <w:pStyle w:val="Footer"/>
      <w:jc w:val="right"/>
    </w:pPr>
    <w:r>
      <w:fldChar w:fldCharType="begin"/>
    </w:r>
    <w:r w:rsidR="00040FCE">
      <w:instrText xml:space="preserve"> PAGE   \* MERGEFORMAT </w:instrText>
    </w:r>
    <w:r>
      <w:fldChar w:fldCharType="separate"/>
    </w:r>
    <w:r w:rsidR="00E12E67">
      <w:rPr>
        <w:noProof/>
      </w:rPr>
      <w:t>5</w:t>
    </w:r>
    <w:r>
      <w:fldChar w:fldCharType="end"/>
    </w:r>
  </w:p>
  <w:p w:rsidR="00DE1D46" w:rsidRDefault="00DE1D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13AF" w:rsidRDefault="00BB13AF" w:rsidP="00DE1D46">
      <w:r>
        <w:separator/>
      </w:r>
    </w:p>
  </w:footnote>
  <w:footnote w:type="continuationSeparator" w:id="1">
    <w:p w:rsidR="00BB13AF" w:rsidRDefault="00BB13AF" w:rsidP="00DE1D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D46" w:rsidRDefault="00A67264">
    <w:pPr>
      <w:pStyle w:val="Header"/>
      <w:framePr w:wrap="around" w:vAnchor="text" w:hAnchor="margin" w:xAlign="center"/>
      <w:rPr>
        <w:rStyle w:val="Pagenumber"/>
      </w:rPr>
    </w:pPr>
    <w:r>
      <w:fldChar w:fldCharType="begin"/>
    </w:r>
    <w:r w:rsidR="00040FCE">
      <w:instrText xml:space="preserve">PAGE  </w:instrText>
    </w:r>
    <w:r>
      <w:fldChar w:fldCharType="end"/>
    </w:r>
  </w:p>
  <w:p w:rsidR="00DE1D46" w:rsidRDefault="00DE1D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F0BA8"/>
    <w:multiLevelType w:val="hybridMultilevel"/>
    <w:tmpl w:val="E13083B2"/>
    <w:lvl w:ilvl="0" w:tplc="E89C64C4">
      <w:start w:val="1"/>
      <w:numFmt w:val="bullet"/>
      <w:lvlText w:val="-"/>
      <w:lvlJc w:val="left"/>
      <w:pPr>
        <w:tabs>
          <w:tab w:val="num" w:pos="720"/>
        </w:tabs>
        <w:ind w:left="720" w:hanging="360"/>
      </w:pPr>
      <w:rPr>
        <w:rFonts w:ascii="Times New Roman" w:eastAsia="Times New Roman" w:hAnsi="Times New Roman" w:cs="Times New Roman" w:hint="default"/>
      </w:rPr>
    </w:lvl>
    <w:lvl w:ilvl="1" w:tplc="306C15F4" w:tentative="1">
      <w:start w:val="1"/>
      <w:numFmt w:val="bullet"/>
      <w:lvlText w:val="o"/>
      <w:lvlJc w:val="left"/>
      <w:pPr>
        <w:tabs>
          <w:tab w:val="num" w:pos="1440"/>
        </w:tabs>
        <w:ind w:left="1440" w:hanging="360"/>
      </w:pPr>
      <w:rPr>
        <w:rFonts w:ascii="Courier New" w:hAnsi="Courier New" w:cs="Courier New" w:hint="default"/>
      </w:rPr>
    </w:lvl>
    <w:lvl w:ilvl="2" w:tplc="AE9C3AF6" w:tentative="1">
      <w:start w:val="1"/>
      <w:numFmt w:val="bullet"/>
      <w:lvlText w:val=""/>
      <w:lvlJc w:val="left"/>
      <w:pPr>
        <w:tabs>
          <w:tab w:val="num" w:pos="2160"/>
        </w:tabs>
        <w:ind w:left="2160" w:hanging="360"/>
      </w:pPr>
      <w:rPr>
        <w:rFonts w:ascii="Wingdings" w:hAnsi="Wingdings" w:hint="default"/>
      </w:rPr>
    </w:lvl>
    <w:lvl w:ilvl="3" w:tplc="690669F4" w:tentative="1">
      <w:start w:val="1"/>
      <w:numFmt w:val="bullet"/>
      <w:lvlText w:val=""/>
      <w:lvlJc w:val="left"/>
      <w:pPr>
        <w:tabs>
          <w:tab w:val="num" w:pos="2880"/>
        </w:tabs>
        <w:ind w:left="2880" w:hanging="360"/>
      </w:pPr>
      <w:rPr>
        <w:rFonts w:ascii="Symbol" w:hAnsi="Symbol" w:hint="default"/>
      </w:rPr>
    </w:lvl>
    <w:lvl w:ilvl="4" w:tplc="39B67A44" w:tentative="1">
      <w:start w:val="1"/>
      <w:numFmt w:val="bullet"/>
      <w:lvlText w:val="o"/>
      <w:lvlJc w:val="left"/>
      <w:pPr>
        <w:tabs>
          <w:tab w:val="num" w:pos="3600"/>
        </w:tabs>
        <w:ind w:left="3600" w:hanging="360"/>
      </w:pPr>
      <w:rPr>
        <w:rFonts w:ascii="Courier New" w:hAnsi="Courier New" w:cs="Courier New" w:hint="default"/>
      </w:rPr>
    </w:lvl>
    <w:lvl w:ilvl="5" w:tplc="1B7CD0C0" w:tentative="1">
      <w:start w:val="1"/>
      <w:numFmt w:val="bullet"/>
      <w:lvlText w:val=""/>
      <w:lvlJc w:val="left"/>
      <w:pPr>
        <w:tabs>
          <w:tab w:val="num" w:pos="4320"/>
        </w:tabs>
        <w:ind w:left="4320" w:hanging="360"/>
      </w:pPr>
      <w:rPr>
        <w:rFonts w:ascii="Wingdings" w:hAnsi="Wingdings" w:hint="default"/>
      </w:rPr>
    </w:lvl>
    <w:lvl w:ilvl="6" w:tplc="CC1CE8D8" w:tentative="1">
      <w:start w:val="1"/>
      <w:numFmt w:val="bullet"/>
      <w:lvlText w:val=""/>
      <w:lvlJc w:val="left"/>
      <w:pPr>
        <w:tabs>
          <w:tab w:val="num" w:pos="5040"/>
        </w:tabs>
        <w:ind w:left="5040" w:hanging="360"/>
      </w:pPr>
      <w:rPr>
        <w:rFonts w:ascii="Symbol" w:hAnsi="Symbol" w:hint="default"/>
      </w:rPr>
    </w:lvl>
    <w:lvl w:ilvl="7" w:tplc="3F74A392" w:tentative="1">
      <w:start w:val="1"/>
      <w:numFmt w:val="bullet"/>
      <w:lvlText w:val="o"/>
      <w:lvlJc w:val="left"/>
      <w:pPr>
        <w:tabs>
          <w:tab w:val="num" w:pos="5760"/>
        </w:tabs>
        <w:ind w:left="5760" w:hanging="360"/>
      </w:pPr>
      <w:rPr>
        <w:rFonts w:ascii="Courier New" w:hAnsi="Courier New" w:cs="Courier New" w:hint="default"/>
      </w:rPr>
    </w:lvl>
    <w:lvl w:ilvl="8" w:tplc="8A381678" w:tentative="1">
      <w:start w:val="1"/>
      <w:numFmt w:val="bullet"/>
      <w:lvlText w:val=""/>
      <w:lvlJc w:val="left"/>
      <w:pPr>
        <w:tabs>
          <w:tab w:val="num" w:pos="6480"/>
        </w:tabs>
        <w:ind w:left="6480" w:hanging="360"/>
      </w:pPr>
      <w:rPr>
        <w:rFonts w:ascii="Wingdings" w:hAnsi="Wingdings" w:hint="default"/>
      </w:rPr>
    </w:lvl>
  </w:abstractNum>
  <w:abstractNum w:abstractNumId="1">
    <w:nsid w:val="321D3F12"/>
    <w:multiLevelType w:val="hybridMultilevel"/>
    <w:tmpl w:val="389072D6"/>
    <w:lvl w:ilvl="0" w:tplc="DB54B7F6">
      <w:start w:val="1"/>
      <w:numFmt w:val="decimal"/>
      <w:lvlText w:val="%1."/>
      <w:lvlJc w:val="left"/>
      <w:pPr>
        <w:tabs>
          <w:tab w:val="num" w:pos="1080"/>
        </w:tabs>
        <w:ind w:left="1080" w:hanging="360"/>
      </w:pPr>
      <w:rPr>
        <w:rFonts w:hint="default"/>
      </w:rPr>
    </w:lvl>
    <w:lvl w:ilvl="1" w:tplc="CCD6B5FC" w:tentative="1">
      <w:start w:val="1"/>
      <w:numFmt w:val="lowerLetter"/>
      <w:lvlText w:val="%2."/>
      <w:lvlJc w:val="left"/>
      <w:pPr>
        <w:tabs>
          <w:tab w:val="num" w:pos="1800"/>
        </w:tabs>
        <w:ind w:left="1800" w:hanging="360"/>
      </w:pPr>
    </w:lvl>
    <w:lvl w:ilvl="2" w:tplc="1272E0DE" w:tentative="1">
      <w:start w:val="1"/>
      <w:numFmt w:val="lowerRoman"/>
      <w:lvlText w:val="%3."/>
      <w:lvlJc w:val="right"/>
      <w:pPr>
        <w:tabs>
          <w:tab w:val="num" w:pos="2520"/>
        </w:tabs>
        <w:ind w:left="2520" w:hanging="180"/>
      </w:pPr>
    </w:lvl>
    <w:lvl w:ilvl="3" w:tplc="44027046" w:tentative="1">
      <w:start w:val="1"/>
      <w:numFmt w:val="decimal"/>
      <w:lvlText w:val="%4."/>
      <w:lvlJc w:val="left"/>
      <w:pPr>
        <w:tabs>
          <w:tab w:val="num" w:pos="3240"/>
        </w:tabs>
        <w:ind w:left="3240" w:hanging="360"/>
      </w:pPr>
    </w:lvl>
    <w:lvl w:ilvl="4" w:tplc="88CEF25C" w:tentative="1">
      <w:start w:val="1"/>
      <w:numFmt w:val="lowerLetter"/>
      <w:lvlText w:val="%5."/>
      <w:lvlJc w:val="left"/>
      <w:pPr>
        <w:tabs>
          <w:tab w:val="num" w:pos="3960"/>
        </w:tabs>
        <w:ind w:left="3960" w:hanging="360"/>
      </w:pPr>
    </w:lvl>
    <w:lvl w:ilvl="5" w:tplc="792E7CDE" w:tentative="1">
      <w:start w:val="1"/>
      <w:numFmt w:val="lowerRoman"/>
      <w:lvlText w:val="%6."/>
      <w:lvlJc w:val="right"/>
      <w:pPr>
        <w:tabs>
          <w:tab w:val="num" w:pos="4680"/>
        </w:tabs>
        <w:ind w:left="4680" w:hanging="180"/>
      </w:pPr>
    </w:lvl>
    <w:lvl w:ilvl="6" w:tplc="CE4CD618" w:tentative="1">
      <w:start w:val="1"/>
      <w:numFmt w:val="decimal"/>
      <w:lvlText w:val="%7."/>
      <w:lvlJc w:val="left"/>
      <w:pPr>
        <w:tabs>
          <w:tab w:val="num" w:pos="5400"/>
        </w:tabs>
        <w:ind w:left="5400" w:hanging="360"/>
      </w:pPr>
    </w:lvl>
    <w:lvl w:ilvl="7" w:tplc="14928C44" w:tentative="1">
      <w:start w:val="1"/>
      <w:numFmt w:val="lowerLetter"/>
      <w:lvlText w:val="%8."/>
      <w:lvlJc w:val="left"/>
      <w:pPr>
        <w:tabs>
          <w:tab w:val="num" w:pos="6120"/>
        </w:tabs>
        <w:ind w:left="6120" w:hanging="360"/>
      </w:pPr>
    </w:lvl>
    <w:lvl w:ilvl="8" w:tplc="B4F6C320"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E1D46"/>
    <w:rsid w:val="00040FCE"/>
    <w:rsid w:val="00747275"/>
    <w:rsid w:val="00A67264"/>
    <w:rsid w:val="00BB13AF"/>
    <w:rsid w:val="00DE1D46"/>
    <w:rsid w:val="00DF3640"/>
    <w:rsid w:val="00E12E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 id="V:Rule6" type="connector" idref="#_x0000_s1028"/>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D46"/>
    <w:rPr>
      <w:sz w:val="24"/>
      <w:szCs w:val="24"/>
    </w:rPr>
  </w:style>
  <w:style w:type="paragraph" w:styleId="Heading1">
    <w:name w:val="heading 1"/>
    <w:basedOn w:val="Normal"/>
    <w:next w:val="Normal"/>
    <w:link w:val="Heading1Char"/>
    <w:uiPriority w:val="9"/>
    <w:qFormat/>
    <w:rsid w:val="00DE1D4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DE1D4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DE1D46"/>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DE1D46"/>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DE1D46"/>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DE1D46"/>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DE1D4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E1D4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E1D4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0">
    <w:name w:val="Default paragraph font"/>
    <w:semiHidden/>
    <w:rsid w:val="00DE1D46"/>
  </w:style>
  <w:style w:type="table" w:customStyle="1" w:styleId="Normaltable">
    <w:name w:val="Normal table"/>
    <w:semiHidden/>
    <w:rsid w:val="00DE1D46"/>
    <w:tblPr>
      <w:tblInd w:w="0" w:type="dxa"/>
      <w:tblCellMar>
        <w:top w:w="0" w:type="dxa"/>
        <w:left w:w="108" w:type="dxa"/>
        <w:bottom w:w="0" w:type="dxa"/>
        <w:right w:w="108" w:type="dxa"/>
      </w:tblCellMar>
    </w:tblPr>
  </w:style>
  <w:style w:type="numbering" w:customStyle="1" w:styleId="Nolist0">
    <w:name w:val="No list"/>
    <w:semiHidden/>
    <w:rsid w:val="00DE1D46"/>
  </w:style>
  <w:style w:type="paragraph" w:styleId="Header">
    <w:name w:val="header"/>
    <w:basedOn w:val="Normal"/>
    <w:link w:val="HeaderChar"/>
    <w:rsid w:val="00DE1D46"/>
    <w:pPr>
      <w:tabs>
        <w:tab w:val="center" w:pos="4320"/>
        <w:tab w:val="right" w:pos="8640"/>
      </w:tabs>
    </w:pPr>
  </w:style>
  <w:style w:type="character" w:customStyle="1" w:styleId="Pagenumber">
    <w:name w:val="Page number"/>
    <w:basedOn w:val="Defaultparagraphfont0"/>
    <w:rsid w:val="00DE1D46"/>
  </w:style>
  <w:style w:type="paragraph" w:customStyle="1" w:styleId="Bodytextindent">
    <w:name w:val="Body text indent"/>
    <w:basedOn w:val="Normal"/>
    <w:link w:val="BodyTextIndentChar"/>
    <w:rsid w:val="00DE1D46"/>
    <w:pPr>
      <w:ind w:firstLine="1134"/>
      <w:jc w:val="both"/>
    </w:pPr>
    <w:rPr>
      <w:sz w:val="28"/>
      <w:szCs w:val="20"/>
    </w:rPr>
  </w:style>
  <w:style w:type="paragraph" w:customStyle="1" w:styleId="Char">
    <w:name w:val="Char"/>
    <w:basedOn w:val="Normal"/>
    <w:rsid w:val="00DE1D46"/>
    <w:pPr>
      <w:spacing w:after="160" w:line="240" w:lineRule="exact"/>
    </w:pPr>
    <w:rPr>
      <w:rFonts w:ascii="Verdana" w:hAnsi="Verdana"/>
      <w:sz w:val="20"/>
      <w:szCs w:val="20"/>
    </w:rPr>
  </w:style>
  <w:style w:type="paragraph" w:customStyle="1" w:styleId="Normalweb">
    <w:name w:val="Normal (web)"/>
    <w:basedOn w:val="Normal"/>
    <w:uiPriority w:val="99"/>
    <w:rsid w:val="00DE1D46"/>
    <w:pPr>
      <w:spacing w:before="100" w:after="100"/>
    </w:pPr>
  </w:style>
  <w:style w:type="character" w:styleId="Emphasis">
    <w:name w:val="Emphasis"/>
    <w:qFormat/>
    <w:rsid w:val="00DE1D46"/>
    <w:rPr>
      <w:i/>
      <w:iCs/>
    </w:rPr>
  </w:style>
  <w:style w:type="character" w:styleId="Strong">
    <w:name w:val="Strong"/>
    <w:qFormat/>
    <w:rsid w:val="00DE1D46"/>
    <w:rPr>
      <w:b/>
      <w:bCs/>
    </w:rPr>
  </w:style>
  <w:style w:type="table" w:customStyle="1" w:styleId="Tablegrid">
    <w:name w:val="Table grid"/>
    <w:basedOn w:val="Normaltable"/>
    <w:rsid w:val="00DE1D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Char">
    <w:name w:val="Char Char Char1 Char"/>
    <w:basedOn w:val="Normal"/>
    <w:rsid w:val="00DE1D46"/>
    <w:pPr>
      <w:spacing w:after="160" w:line="240" w:lineRule="exact"/>
    </w:pPr>
    <w:rPr>
      <w:rFonts w:ascii="Verdana" w:hAnsi="Verdana"/>
      <w:sz w:val="20"/>
      <w:szCs w:val="20"/>
    </w:rPr>
  </w:style>
  <w:style w:type="paragraph" w:styleId="Footer">
    <w:name w:val="footer"/>
    <w:basedOn w:val="Normal"/>
    <w:link w:val="FooterChar"/>
    <w:uiPriority w:val="99"/>
    <w:rsid w:val="00DE1D46"/>
    <w:pPr>
      <w:tabs>
        <w:tab w:val="center" w:pos="4320"/>
        <w:tab w:val="right" w:pos="8640"/>
      </w:tabs>
    </w:pPr>
  </w:style>
  <w:style w:type="paragraph" w:customStyle="1" w:styleId="CharChar4">
    <w:name w:val="Char Char4"/>
    <w:basedOn w:val="Normal"/>
    <w:rsid w:val="00DE1D46"/>
    <w:pPr>
      <w:spacing w:after="160" w:line="240" w:lineRule="exact"/>
    </w:pPr>
    <w:rPr>
      <w:rFonts w:ascii="Verdana" w:hAnsi="Verdana"/>
      <w:sz w:val="20"/>
      <w:szCs w:val="20"/>
    </w:rPr>
  </w:style>
  <w:style w:type="character" w:customStyle="1" w:styleId="BodyTextIndentChar">
    <w:name w:val="Body Text Indent Char"/>
    <w:link w:val="Bodytextindent"/>
    <w:rsid w:val="00DE1D46"/>
    <w:rPr>
      <w:sz w:val="28"/>
      <w:lang w:val="en-US" w:eastAsia="en-US" w:bidi="ar-SA"/>
    </w:rPr>
  </w:style>
  <w:style w:type="paragraph" w:customStyle="1" w:styleId="CharCharCharChar">
    <w:name w:val="Char Char Char Char"/>
    <w:basedOn w:val="Normal"/>
    <w:rsid w:val="00DE1D46"/>
    <w:pPr>
      <w:spacing w:after="160" w:line="240" w:lineRule="exact"/>
    </w:pPr>
    <w:rPr>
      <w:rFonts w:ascii="Verdana" w:hAnsi="Verdana"/>
      <w:sz w:val="20"/>
      <w:szCs w:val="20"/>
    </w:rPr>
  </w:style>
  <w:style w:type="character" w:customStyle="1" w:styleId="FooterChar">
    <w:name w:val="Footer Char"/>
    <w:link w:val="Footer"/>
    <w:uiPriority w:val="99"/>
    <w:rsid w:val="00DE1D46"/>
    <w:rPr>
      <w:sz w:val="24"/>
      <w:szCs w:val="24"/>
    </w:rPr>
  </w:style>
  <w:style w:type="paragraph" w:customStyle="1" w:styleId="Bodytext">
    <w:name w:val="Body text"/>
    <w:basedOn w:val="Normal"/>
    <w:link w:val="BodyTextChar"/>
    <w:rsid w:val="00DE1D46"/>
    <w:pPr>
      <w:spacing w:after="120"/>
    </w:pPr>
  </w:style>
  <w:style w:type="character" w:customStyle="1" w:styleId="BodyTextChar">
    <w:name w:val="Body Text Char"/>
    <w:link w:val="Bodytext"/>
    <w:rsid w:val="00DE1D46"/>
    <w:rPr>
      <w:sz w:val="24"/>
      <w:szCs w:val="24"/>
    </w:rPr>
  </w:style>
  <w:style w:type="paragraph" w:customStyle="1" w:styleId="Balloontext">
    <w:name w:val="Balloon text"/>
    <w:basedOn w:val="Normal"/>
    <w:link w:val="BalloonTextChar"/>
    <w:rsid w:val="00DE1D46"/>
    <w:rPr>
      <w:rFonts w:ascii="Tahoma" w:hAnsi="Tahoma"/>
      <w:sz w:val="16"/>
      <w:szCs w:val="16"/>
    </w:rPr>
  </w:style>
  <w:style w:type="character" w:customStyle="1" w:styleId="BalloonTextChar">
    <w:name w:val="Balloon Text Char"/>
    <w:link w:val="Balloontext"/>
    <w:rsid w:val="00DE1D46"/>
    <w:rPr>
      <w:rFonts w:ascii="Tahoma" w:hAnsi="Tahoma" w:cs="Tahoma"/>
      <w:sz w:val="16"/>
      <w:szCs w:val="16"/>
    </w:rPr>
  </w:style>
  <w:style w:type="character" w:customStyle="1" w:styleId="Apple-converted-space">
    <w:name w:val="Apple-converted-space"/>
    <w:basedOn w:val="Defaultparagraphfont0"/>
    <w:rsid w:val="00DE1D46"/>
  </w:style>
  <w:style w:type="paragraph" w:styleId="NoSpacing">
    <w:name w:val="No Spacing"/>
    <w:uiPriority w:val="1"/>
    <w:qFormat/>
    <w:rsid w:val="00DE1D46"/>
  </w:style>
  <w:style w:type="character" w:customStyle="1" w:styleId="Heading1Char">
    <w:name w:val="Heading 1 Char"/>
    <w:basedOn w:val="Defaultparagraphfont0"/>
    <w:link w:val="Heading1"/>
    <w:uiPriority w:val="9"/>
    <w:rsid w:val="00DE1D46"/>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0"/>
    <w:link w:val="Heading2"/>
    <w:uiPriority w:val="9"/>
    <w:rsid w:val="00DE1D46"/>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0"/>
    <w:link w:val="Heading3"/>
    <w:uiPriority w:val="9"/>
    <w:rsid w:val="00DE1D46"/>
    <w:rPr>
      <w:rFonts w:asciiTheme="majorHAnsi" w:eastAsiaTheme="majorEastAsia" w:hAnsiTheme="majorHAnsi" w:cstheme="majorBidi"/>
      <w:b/>
      <w:bCs/>
      <w:color w:val="4472C4" w:themeColor="accent1"/>
    </w:rPr>
  </w:style>
  <w:style w:type="character" w:customStyle="1" w:styleId="Heading4Char">
    <w:name w:val="Heading 4 Char"/>
    <w:basedOn w:val="Defaultparagraphfont0"/>
    <w:link w:val="Heading4"/>
    <w:uiPriority w:val="9"/>
    <w:rsid w:val="00DE1D46"/>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0"/>
    <w:link w:val="Heading5"/>
    <w:uiPriority w:val="9"/>
    <w:rsid w:val="00DE1D46"/>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0"/>
    <w:link w:val="Heading6"/>
    <w:uiPriority w:val="9"/>
    <w:rsid w:val="00DE1D46"/>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0"/>
    <w:link w:val="Heading7"/>
    <w:uiPriority w:val="9"/>
    <w:rsid w:val="00DE1D4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0"/>
    <w:link w:val="Heading8"/>
    <w:uiPriority w:val="9"/>
    <w:rsid w:val="00DE1D4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0"/>
    <w:link w:val="Heading9"/>
    <w:uiPriority w:val="9"/>
    <w:rsid w:val="00DE1D46"/>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DE1D4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0"/>
    <w:link w:val="Title"/>
    <w:uiPriority w:val="10"/>
    <w:rsid w:val="00DE1D46"/>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sid w:val="00DE1D46"/>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0"/>
    <w:link w:val="Subtitle"/>
    <w:uiPriority w:val="11"/>
    <w:rsid w:val="00DE1D46"/>
    <w:rPr>
      <w:rFonts w:asciiTheme="majorHAnsi" w:eastAsiaTheme="majorEastAsia" w:hAnsiTheme="majorHAnsi" w:cstheme="majorBidi"/>
      <w:i/>
      <w:iCs/>
      <w:color w:val="4472C4" w:themeColor="accent1"/>
      <w:spacing w:val="15"/>
      <w:sz w:val="24"/>
      <w:szCs w:val="24"/>
    </w:rPr>
  </w:style>
  <w:style w:type="character" w:styleId="SubtleEmphasis">
    <w:name w:val="Subtle Emphasis"/>
    <w:basedOn w:val="Defaultparagraphfont0"/>
    <w:uiPriority w:val="19"/>
    <w:qFormat/>
    <w:rsid w:val="00DE1D46"/>
    <w:rPr>
      <w:i/>
      <w:iCs/>
      <w:color w:val="808080" w:themeColor="text1" w:themeTint="7F"/>
    </w:rPr>
  </w:style>
  <w:style w:type="character" w:styleId="IntenseEmphasis">
    <w:name w:val="Intense Emphasis"/>
    <w:basedOn w:val="Defaultparagraphfont0"/>
    <w:uiPriority w:val="21"/>
    <w:qFormat/>
    <w:rsid w:val="00DE1D46"/>
    <w:rPr>
      <w:b/>
      <w:bCs/>
      <w:i/>
      <w:iCs/>
      <w:color w:val="4472C4" w:themeColor="accent1"/>
    </w:rPr>
  </w:style>
  <w:style w:type="paragraph" w:styleId="Quote">
    <w:name w:val="Quote"/>
    <w:basedOn w:val="Normal"/>
    <w:next w:val="Normal"/>
    <w:link w:val="QuoteChar"/>
    <w:uiPriority w:val="29"/>
    <w:qFormat/>
    <w:rsid w:val="00DE1D46"/>
    <w:rPr>
      <w:i/>
      <w:iCs/>
      <w:color w:val="000000" w:themeColor="text1"/>
    </w:rPr>
  </w:style>
  <w:style w:type="character" w:customStyle="1" w:styleId="QuoteChar">
    <w:name w:val="Quote Char"/>
    <w:basedOn w:val="Defaultparagraphfont0"/>
    <w:link w:val="Quote"/>
    <w:uiPriority w:val="29"/>
    <w:rsid w:val="00DE1D46"/>
    <w:rPr>
      <w:i/>
      <w:iCs/>
      <w:color w:val="000000" w:themeColor="text1"/>
    </w:rPr>
  </w:style>
  <w:style w:type="paragraph" w:styleId="IntenseQuote">
    <w:name w:val="Intense Quote"/>
    <w:basedOn w:val="Normal"/>
    <w:next w:val="Normal"/>
    <w:link w:val="IntenseQuoteChar"/>
    <w:uiPriority w:val="30"/>
    <w:qFormat/>
    <w:rsid w:val="00DE1D46"/>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0"/>
    <w:link w:val="IntenseQuote"/>
    <w:uiPriority w:val="30"/>
    <w:rsid w:val="00DE1D46"/>
    <w:rPr>
      <w:b/>
      <w:bCs/>
      <w:i/>
      <w:iCs/>
      <w:color w:val="4472C4" w:themeColor="accent1"/>
    </w:rPr>
  </w:style>
  <w:style w:type="character" w:styleId="SubtleReference">
    <w:name w:val="Subtle Reference"/>
    <w:basedOn w:val="Defaultparagraphfont0"/>
    <w:uiPriority w:val="31"/>
    <w:qFormat/>
    <w:rsid w:val="00DE1D46"/>
    <w:rPr>
      <w:smallCaps/>
      <w:color w:val="ED7D31" w:themeColor="accent2"/>
      <w:u w:val="single"/>
    </w:rPr>
  </w:style>
  <w:style w:type="character" w:styleId="IntenseReference">
    <w:name w:val="Intense Reference"/>
    <w:basedOn w:val="Defaultparagraphfont0"/>
    <w:uiPriority w:val="32"/>
    <w:qFormat/>
    <w:rsid w:val="00DE1D46"/>
    <w:rPr>
      <w:b/>
      <w:bCs/>
      <w:smallCaps/>
      <w:color w:val="ED7D31" w:themeColor="accent2"/>
      <w:spacing w:val="5"/>
      <w:u w:val="single"/>
    </w:rPr>
  </w:style>
  <w:style w:type="character" w:styleId="BookTitle">
    <w:name w:val="Book Title"/>
    <w:basedOn w:val="Defaultparagraphfont0"/>
    <w:uiPriority w:val="33"/>
    <w:qFormat/>
    <w:rsid w:val="00DE1D46"/>
    <w:rPr>
      <w:b/>
      <w:bCs/>
      <w:smallCaps/>
      <w:spacing w:val="5"/>
    </w:rPr>
  </w:style>
  <w:style w:type="paragraph" w:styleId="ListParagraph">
    <w:name w:val="List Paragraph"/>
    <w:basedOn w:val="Normal"/>
    <w:uiPriority w:val="34"/>
    <w:qFormat/>
    <w:rsid w:val="00DE1D46"/>
    <w:pPr>
      <w:ind w:left="720"/>
      <w:contextualSpacing/>
    </w:pPr>
  </w:style>
  <w:style w:type="paragraph" w:customStyle="1" w:styleId="Footnotetext">
    <w:name w:val="Footnote text"/>
    <w:basedOn w:val="Normal"/>
    <w:link w:val="FootnoteTextChar"/>
    <w:uiPriority w:val="99"/>
    <w:semiHidden/>
    <w:unhideWhenUsed/>
    <w:rsid w:val="00DE1D46"/>
    <w:rPr>
      <w:sz w:val="20"/>
      <w:szCs w:val="20"/>
    </w:rPr>
  </w:style>
  <w:style w:type="character" w:customStyle="1" w:styleId="FootnoteTextChar">
    <w:name w:val="Footnote Text Char"/>
    <w:basedOn w:val="Defaultparagraphfont0"/>
    <w:link w:val="Footnotetext"/>
    <w:uiPriority w:val="99"/>
    <w:semiHidden/>
    <w:rsid w:val="00DE1D46"/>
    <w:rPr>
      <w:sz w:val="20"/>
      <w:szCs w:val="20"/>
    </w:rPr>
  </w:style>
  <w:style w:type="character" w:customStyle="1" w:styleId="Footnotereference">
    <w:name w:val="Footnote reference"/>
    <w:basedOn w:val="Defaultparagraphfont0"/>
    <w:uiPriority w:val="99"/>
    <w:semiHidden/>
    <w:unhideWhenUsed/>
    <w:rsid w:val="00DE1D46"/>
    <w:rPr>
      <w:vertAlign w:val="superscript"/>
    </w:rPr>
  </w:style>
  <w:style w:type="paragraph" w:customStyle="1" w:styleId="Endnotetext">
    <w:name w:val="Endnote text"/>
    <w:basedOn w:val="Normal"/>
    <w:link w:val="EndnoteTextChar"/>
    <w:uiPriority w:val="99"/>
    <w:semiHidden/>
    <w:unhideWhenUsed/>
    <w:rsid w:val="00DE1D46"/>
    <w:rPr>
      <w:sz w:val="20"/>
      <w:szCs w:val="20"/>
    </w:rPr>
  </w:style>
  <w:style w:type="character" w:customStyle="1" w:styleId="EndnoteTextChar">
    <w:name w:val="Endnote Text Char"/>
    <w:basedOn w:val="Defaultparagraphfont0"/>
    <w:link w:val="Endnotetext"/>
    <w:uiPriority w:val="99"/>
    <w:semiHidden/>
    <w:rsid w:val="00DE1D46"/>
    <w:rPr>
      <w:sz w:val="20"/>
      <w:szCs w:val="20"/>
    </w:rPr>
  </w:style>
  <w:style w:type="character" w:customStyle="1" w:styleId="Endnotereference">
    <w:name w:val="Endnote reference"/>
    <w:basedOn w:val="Defaultparagraphfont0"/>
    <w:uiPriority w:val="99"/>
    <w:semiHidden/>
    <w:unhideWhenUsed/>
    <w:rsid w:val="00DE1D46"/>
    <w:rPr>
      <w:vertAlign w:val="superscript"/>
    </w:rPr>
  </w:style>
  <w:style w:type="character" w:styleId="Hyperlink">
    <w:name w:val="Hyperlink"/>
    <w:basedOn w:val="Defaultparagraphfont0"/>
    <w:uiPriority w:val="99"/>
    <w:unhideWhenUsed/>
    <w:rsid w:val="00DE1D46"/>
    <w:rPr>
      <w:color w:val="0563C1" w:themeColor="hyperlink"/>
      <w:u w:val="single"/>
    </w:rPr>
  </w:style>
  <w:style w:type="paragraph" w:styleId="PlainText">
    <w:name w:val="Plain Text"/>
    <w:basedOn w:val="Normal"/>
    <w:link w:val="PlainTextChar"/>
    <w:uiPriority w:val="99"/>
    <w:semiHidden/>
    <w:unhideWhenUsed/>
    <w:rsid w:val="00DE1D46"/>
    <w:rPr>
      <w:rFonts w:ascii="Courier New" w:hAnsi="Courier New" w:cs="Courier New"/>
      <w:sz w:val="21"/>
      <w:szCs w:val="21"/>
    </w:rPr>
  </w:style>
  <w:style w:type="character" w:customStyle="1" w:styleId="PlainTextChar">
    <w:name w:val="Plain Text Char"/>
    <w:basedOn w:val="Defaultparagraphfont0"/>
    <w:link w:val="PlainText"/>
    <w:uiPriority w:val="99"/>
    <w:rsid w:val="00DE1D46"/>
    <w:rPr>
      <w:rFonts w:ascii="Courier New" w:hAnsi="Courier New" w:cs="Courier New"/>
      <w:sz w:val="21"/>
      <w:szCs w:val="21"/>
    </w:rPr>
  </w:style>
  <w:style w:type="character" w:customStyle="1" w:styleId="HeaderChar">
    <w:name w:val="Header Char"/>
    <w:basedOn w:val="Defaultparagraphfont0"/>
    <w:link w:val="Header"/>
    <w:uiPriority w:val="99"/>
    <w:rsid w:val="00DE1D4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Chủ đề văn phòng">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1824</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UỶ BAN NHÂN DÂN</vt:lpstr>
    </vt:vector>
  </TitlesOfParts>
  <Company/>
  <LinksUpToDate>false</LinksUpToDate>
  <CharactersWithSpaces>12197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qlns</dc:creator>
  <cp:lastModifiedBy>qlns</cp:lastModifiedBy>
  <cp:revision>3</cp:revision>
  <dcterms:created xsi:type="dcterms:W3CDTF">2020-01-06T01:28:00Z</dcterms:created>
  <dcterms:modified xsi:type="dcterms:W3CDTF">2020-01-06T01:33:00Z</dcterms:modified>
</cp:coreProperties>
</file>