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1023"/>
        <w:gridCol w:w="6061"/>
      </w:tblGrid>
      <w:tr w:rsidR="007207FA" w:rsidRPr="007207FA" w:rsidTr="00107664">
        <w:tc>
          <w:tcPr>
            <w:tcW w:w="2204" w:type="dxa"/>
          </w:tcPr>
          <w:p w:rsidR="007207FA" w:rsidRPr="00A76BBE" w:rsidRDefault="007207FA" w:rsidP="007207FA">
            <w:pPr>
              <w:ind w:firstLine="0"/>
              <w:jc w:val="center"/>
              <w:rPr>
                <w:b/>
                <w:spacing w:val="0"/>
                <w:sz w:val="24"/>
                <w:szCs w:val="24"/>
              </w:rPr>
            </w:pPr>
            <w:r w:rsidRPr="00A76BBE">
              <w:rPr>
                <w:b/>
                <w:spacing w:val="0"/>
                <w:sz w:val="24"/>
                <w:szCs w:val="24"/>
              </w:rPr>
              <w:t>CHÍNH PHỦ</w:t>
            </w:r>
          </w:p>
          <w:p w:rsidR="007207FA" w:rsidRPr="00AA7ED2" w:rsidRDefault="00AA7ED2" w:rsidP="007207FA">
            <w:pPr>
              <w:ind w:firstLine="0"/>
              <w:jc w:val="center"/>
              <w:rPr>
                <w:strike/>
                <w:spacing w:val="0"/>
                <w:vertAlign w:val="superscript"/>
              </w:rPr>
            </w:pPr>
            <w:r w:rsidRPr="00D06E61">
              <w:rPr>
                <w:strike/>
                <w:color w:val="FFFFFF" w:themeColor="background1"/>
                <w:spacing w:val="0"/>
                <w:vertAlign w:val="superscript"/>
              </w:rPr>
              <w:t>.</w:t>
            </w:r>
            <w:r w:rsidRPr="00AA7ED2">
              <w:rPr>
                <w:strike/>
                <w:spacing w:val="0"/>
                <w:vertAlign w:val="superscript"/>
              </w:rPr>
              <w:t xml:space="preserve">      </w:t>
            </w:r>
            <w:r>
              <w:rPr>
                <w:strike/>
                <w:spacing w:val="0"/>
                <w:vertAlign w:val="superscript"/>
              </w:rPr>
              <w:t xml:space="preserve">   </w:t>
            </w:r>
            <w:r w:rsidRPr="00AA7ED2">
              <w:rPr>
                <w:strike/>
                <w:spacing w:val="0"/>
                <w:vertAlign w:val="superscript"/>
              </w:rPr>
              <w:t xml:space="preserve">    </w:t>
            </w:r>
            <w:r w:rsidRPr="00D06E61">
              <w:rPr>
                <w:strike/>
                <w:color w:val="FFFFFF" w:themeColor="background1"/>
                <w:spacing w:val="0"/>
                <w:vertAlign w:val="superscript"/>
              </w:rPr>
              <w:t>.</w:t>
            </w:r>
          </w:p>
          <w:p w:rsidR="007207FA" w:rsidRPr="007207FA" w:rsidRDefault="007207FA" w:rsidP="00AA7ED2">
            <w:pPr>
              <w:spacing w:before="240"/>
              <w:ind w:firstLine="0"/>
              <w:jc w:val="center"/>
              <w:rPr>
                <w:spacing w:val="0"/>
              </w:rPr>
            </w:pPr>
          </w:p>
        </w:tc>
        <w:tc>
          <w:tcPr>
            <w:tcW w:w="1023" w:type="dxa"/>
          </w:tcPr>
          <w:p w:rsidR="007207FA" w:rsidRDefault="007207FA">
            <w:pPr>
              <w:rPr>
                <w:spacing w:val="0"/>
              </w:rPr>
            </w:pPr>
          </w:p>
          <w:p w:rsidR="007207FA" w:rsidRDefault="007207FA">
            <w:pPr>
              <w:rPr>
                <w:spacing w:val="0"/>
              </w:rPr>
            </w:pPr>
          </w:p>
          <w:p w:rsidR="007207FA" w:rsidRPr="007207FA" w:rsidRDefault="007207FA" w:rsidP="007207FA">
            <w:pPr>
              <w:ind w:firstLine="0"/>
              <w:rPr>
                <w:spacing w:val="0"/>
              </w:rPr>
            </w:pPr>
          </w:p>
        </w:tc>
        <w:tc>
          <w:tcPr>
            <w:tcW w:w="6061" w:type="dxa"/>
          </w:tcPr>
          <w:p w:rsidR="007207FA" w:rsidRPr="00A76BBE" w:rsidRDefault="007207FA" w:rsidP="007207FA">
            <w:pPr>
              <w:ind w:firstLine="0"/>
              <w:jc w:val="center"/>
              <w:rPr>
                <w:b/>
                <w:spacing w:val="0"/>
                <w:sz w:val="24"/>
              </w:rPr>
            </w:pPr>
            <w:r w:rsidRPr="00A76BBE">
              <w:rPr>
                <w:b/>
                <w:spacing w:val="0"/>
                <w:sz w:val="24"/>
              </w:rPr>
              <w:t>CỘNG HÒA XÃ HỘI CHỦ NGHĨA VIỆT NAM</w:t>
            </w:r>
          </w:p>
          <w:p w:rsidR="007207FA" w:rsidRPr="007207FA" w:rsidRDefault="007207FA" w:rsidP="007207FA">
            <w:pPr>
              <w:ind w:firstLine="0"/>
              <w:jc w:val="center"/>
              <w:rPr>
                <w:b/>
                <w:spacing w:val="0"/>
              </w:rPr>
            </w:pPr>
            <w:r w:rsidRPr="007207FA">
              <w:rPr>
                <w:b/>
                <w:spacing w:val="0"/>
              </w:rPr>
              <w:t>Độc lập – Tự do – Hạnh phúc</w:t>
            </w:r>
          </w:p>
          <w:p w:rsidR="007207FA" w:rsidRPr="00D06E61" w:rsidRDefault="00D06E61" w:rsidP="00D06E61">
            <w:pPr>
              <w:ind w:firstLine="0"/>
              <w:jc w:val="center"/>
              <w:rPr>
                <w:strike/>
                <w:spacing w:val="0"/>
                <w:vertAlign w:val="superscript"/>
              </w:rPr>
            </w:pPr>
            <w:r w:rsidRPr="00AA7ED2">
              <w:rPr>
                <w:strike/>
                <w:spacing w:val="0"/>
                <w:vertAlign w:val="superscript"/>
              </w:rPr>
              <w:t xml:space="preserve">      </w:t>
            </w:r>
            <w:r>
              <w:rPr>
                <w:strike/>
                <w:spacing w:val="0"/>
                <w:vertAlign w:val="superscript"/>
              </w:rPr>
              <w:t xml:space="preserve">                                                            </w:t>
            </w:r>
            <w:r w:rsidRPr="00AA7ED2">
              <w:rPr>
                <w:strike/>
                <w:spacing w:val="0"/>
                <w:vertAlign w:val="superscript"/>
              </w:rPr>
              <w:t xml:space="preserve">    </w:t>
            </w:r>
            <w:r w:rsidRPr="00D06E61">
              <w:rPr>
                <w:strike/>
                <w:color w:val="FFFFFF" w:themeColor="background1"/>
                <w:spacing w:val="0"/>
                <w:vertAlign w:val="superscript"/>
              </w:rPr>
              <w:t>.</w:t>
            </w:r>
          </w:p>
        </w:tc>
      </w:tr>
      <w:tr w:rsidR="007207FA" w:rsidRPr="007207FA" w:rsidTr="00107664">
        <w:tc>
          <w:tcPr>
            <w:tcW w:w="2204" w:type="dxa"/>
          </w:tcPr>
          <w:p w:rsidR="007207FA" w:rsidRPr="007207FA" w:rsidRDefault="005A2AD3" w:rsidP="00275FA4">
            <w:pPr>
              <w:ind w:firstLine="0"/>
              <w:rPr>
                <w:spacing w:val="0"/>
              </w:rPr>
            </w:pPr>
            <w:r w:rsidRPr="007207FA">
              <w:rPr>
                <w:spacing w:val="0"/>
              </w:rPr>
              <w:t xml:space="preserve">Số:  </w:t>
            </w:r>
            <w:r w:rsidR="00275FA4">
              <w:rPr>
                <w:spacing w:val="0"/>
              </w:rPr>
              <w:t xml:space="preserve">      </w:t>
            </w:r>
            <w:r w:rsidRPr="007207FA">
              <w:rPr>
                <w:spacing w:val="0"/>
              </w:rPr>
              <w:t>/NQ-CP</w:t>
            </w:r>
          </w:p>
        </w:tc>
        <w:tc>
          <w:tcPr>
            <w:tcW w:w="1023" w:type="dxa"/>
          </w:tcPr>
          <w:p w:rsidR="007207FA" w:rsidRPr="007207FA" w:rsidRDefault="007207FA">
            <w:pPr>
              <w:ind w:firstLine="0"/>
              <w:rPr>
                <w:spacing w:val="0"/>
              </w:rPr>
            </w:pPr>
          </w:p>
        </w:tc>
        <w:tc>
          <w:tcPr>
            <w:tcW w:w="6061" w:type="dxa"/>
          </w:tcPr>
          <w:p w:rsidR="007207FA" w:rsidRPr="007207FA" w:rsidRDefault="007207FA" w:rsidP="00275FA4">
            <w:pPr>
              <w:ind w:firstLine="0"/>
              <w:jc w:val="center"/>
              <w:rPr>
                <w:i/>
                <w:spacing w:val="0"/>
              </w:rPr>
            </w:pPr>
            <w:r w:rsidRPr="007207FA">
              <w:rPr>
                <w:i/>
                <w:spacing w:val="0"/>
              </w:rPr>
              <w:t>Hà Nộ</w:t>
            </w:r>
            <w:r w:rsidR="007572F7">
              <w:rPr>
                <w:i/>
                <w:spacing w:val="0"/>
              </w:rPr>
              <w:t>i, ngày</w:t>
            </w:r>
            <w:r w:rsidR="008B0C33">
              <w:rPr>
                <w:i/>
                <w:spacing w:val="0"/>
              </w:rPr>
              <w:t xml:space="preserve"> </w:t>
            </w:r>
            <w:r w:rsidR="00275FA4">
              <w:rPr>
                <w:i/>
                <w:spacing w:val="0"/>
              </w:rPr>
              <w:t xml:space="preserve">     </w:t>
            </w:r>
            <w:r w:rsidR="007572F7">
              <w:rPr>
                <w:i/>
                <w:spacing w:val="0"/>
              </w:rPr>
              <w:t xml:space="preserve"> tháng</w:t>
            </w:r>
            <w:r w:rsidRPr="007207FA">
              <w:rPr>
                <w:i/>
                <w:spacing w:val="0"/>
              </w:rPr>
              <w:t xml:space="preserve"> </w:t>
            </w:r>
            <w:r w:rsidR="00275FA4">
              <w:rPr>
                <w:i/>
                <w:spacing w:val="0"/>
              </w:rPr>
              <w:t>9</w:t>
            </w:r>
            <w:r w:rsidRPr="007207FA">
              <w:rPr>
                <w:i/>
                <w:spacing w:val="0"/>
              </w:rPr>
              <w:t xml:space="preserve"> năm 201</w:t>
            </w:r>
            <w:r w:rsidR="00275FA4">
              <w:rPr>
                <w:i/>
                <w:spacing w:val="0"/>
              </w:rPr>
              <w:t>9</w:t>
            </w:r>
          </w:p>
        </w:tc>
      </w:tr>
    </w:tbl>
    <w:p w:rsidR="001A1A0A" w:rsidRDefault="001A1A0A">
      <w:pPr>
        <w:rPr>
          <w:spacing w:val="0"/>
        </w:rPr>
      </w:pPr>
    </w:p>
    <w:p w:rsidR="00C64C0A" w:rsidRDefault="00275FA4" w:rsidP="00A85A62">
      <w:pPr>
        <w:spacing w:before="0" w:after="0"/>
        <w:ind w:firstLine="0"/>
        <w:jc w:val="center"/>
        <w:rPr>
          <w:b/>
          <w:spacing w:val="0"/>
          <w:sz w:val="30"/>
        </w:rPr>
      </w:pPr>
      <w:r w:rsidRPr="00275FA4">
        <w:rPr>
          <w:b/>
          <w:noProof/>
          <w:spacing w:val="0"/>
          <w:sz w:val="30"/>
        </w:rPr>
        <mc:AlternateContent>
          <mc:Choice Requires="wps">
            <w:drawing>
              <wp:anchor distT="0" distB="0" distL="114300" distR="114300" simplePos="0" relativeHeight="251659264" behindDoc="0" locked="0" layoutInCell="1" allowOverlap="1" wp14:anchorId="2CCBA4CA" wp14:editId="1B7D9A20">
                <wp:simplePos x="0" y="0"/>
                <wp:positionH relativeFrom="column">
                  <wp:posOffset>-130175</wp:posOffset>
                </wp:positionH>
                <wp:positionV relativeFrom="paragraph">
                  <wp:posOffset>29210</wp:posOffset>
                </wp:positionV>
                <wp:extent cx="777240" cy="375920"/>
                <wp:effectExtent l="0" t="0" r="2286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75920"/>
                        </a:xfrm>
                        <a:prstGeom prst="rect">
                          <a:avLst/>
                        </a:prstGeom>
                        <a:solidFill>
                          <a:srgbClr val="FFFFFF"/>
                        </a:solidFill>
                        <a:ln w="9525">
                          <a:solidFill>
                            <a:srgbClr val="000000"/>
                          </a:solidFill>
                          <a:miter lim="800000"/>
                          <a:headEnd/>
                          <a:tailEnd/>
                        </a:ln>
                      </wps:spPr>
                      <wps:txbx>
                        <w:txbxContent>
                          <w:p w:rsidR="00275FA4" w:rsidRPr="00275FA4" w:rsidRDefault="00275FA4" w:rsidP="00275FA4">
                            <w:pPr>
                              <w:ind w:firstLine="0"/>
                              <w:rPr>
                                <w:rFonts w:cs="Times New Roman"/>
                              </w:rPr>
                            </w:pPr>
                            <w:r w:rsidRPr="00275FA4">
                              <w:rPr>
                                <w:rFonts w:cs="Times New Roma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5pt;margin-top:2.3pt;width:61.2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">
                <v:textbox>
                  <w:txbxContent>
                    <w:p w:rsidR="00275FA4" w:rsidRPr="00275FA4" w:rsidRDefault="00275FA4" w:rsidP="00275FA4">
                      <w:pPr>
                        <w:ind w:firstLine="0"/>
                        <w:rPr>
                          <w:rFonts w:cs="Times New Roman"/>
                        </w:rPr>
                      </w:pPr>
                      <w:r w:rsidRPr="00275FA4">
                        <w:rPr>
                          <w:rFonts w:cs="Times New Roman"/>
                        </w:rPr>
                        <w:t>Dự thảo</w:t>
                      </w:r>
                    </w:p>
                  </w:txbxContent>
                </v:textbox>
              </v:shape>
            </w:pict>
          </mc:Fallback>
        </mc:AlternateContent>
      </w:r>
    </w:p>
    <w:p w:rsidR="00AA7ED2" w:rsidRPr="00A85A62" w:rsidRDefault="00AA7ED2" w:rsidP="00A85A62">
      <w:pPr>
        <w:spacing w:before="0" w:after="0"/>
        <w:ind w:firstLine="0"/>
        <w:jc w:val="center"/>
        <w:rPr>
          <w:b/>
          <w:spacing w:val="0"/>
          <w:sz w:val="26"/>
        </w:rPr>
      </w:pPr>
      <w:r w:rsidRPr="00A85A62">
        <w:rPr>
          <w:b/>
          <w:spacing w:val="0"/>
          <w:sz w:val="30"/>
        </w:rPr>
        <w:t>NGHỊ QUYẾT</w:t>
      </w:r>
    </w:p>
    <w:p w:rsidR="008A18D2" w:rsidRDefault="00AA7ED2" w:rsidP="00AE22AC">
      <w:pPr>
        <w:spacing w:after="0" w:line="240" w:lineRule="auto"/>
        <w:ind w:firstLine="0"/>
        <w:jc w:val="center"/>
        <w:rPr>
          <w:b/>
          <w:spacing w:val="0"/>
        </w:rPr>
      </w:pPr>
      <w:r w:rsidRPr="00A85A62">
        <w:rPr>
          <w:b/>
          <w:spacing w:val="0"/>
        </w:rPr>
        <w:t>Về những nhiệm vụ</w:t>
      </w:r>
      <w:r w:rsidR="00A85A62" w:rsidRPr="00A85A62">
        <w:rPr>
          <w:b/>
          <w:spacing w:val="0"/>
        </w:rPr>
        <w:t>, giải pháp chủ yếu đẩy nhanh tiến độ thực hiện</w:t>
      </w:r>
    </w:p>
    <w:p w:rsidR="00AA7ED2" w:rsidRPr="00A85A62" w:rsidRDefault="00A85A62" w:rsidP="00AE22AC">
      <w:pPr>
        <w:spacing w:after="0" w:line="240" w:lineRule="auto"/>
        <w:ind w:firstLine="0"/>
        <w:jc w:val="center"/>
        <w:rPr>
          <w:b/>
          <w:spacing w:val="0"/>
        </w:rPr>
      </w:pPr>
      <w:proofErr w:type="gramStart"/>
      <w:r w:rsidRPr="00A85A62">
        <w:rPr>
          <w:b/>
          <w:spacing w:val="0"/>
        </w:rPr>
        <w:t>và</w:t>
      </w:r>
      <w:proofErr w:type="gramEnd"/>
      <w:r w:rsidRPr="00A85A62">
        <w:rPr>
          <w:b/>
          <w:spacing w:val="0"/>
        </w:rPr>
        <w:t xml:space="preserve"> giải ngân kế hoạch vốn đầu tư công</w:t>
      </w:r>
      <w:r w:rsidR="00906A0D">
        <w:rPr>
          <w:b/>
          <w:spacing w:val="0"/>
        </w:rPr>
        <w:t xml:space="preserve"> năm 2019</w:t>
      </w:r>
    </w:p>
    <w:p w:rsidR="00A85A62" w:rsidRPr="00AA7ED2" w:rsidRDefault="00A85A62" w:rsidP="00A85A62">
      <w:pPr>
        <w:ind w:firstLine="0"/>
        <w:jc w:val="center"/>
        <w:rPr>
          <w:strike/>
          <w:spacing w:val="0"/>
          <w:vertAlign w:val="superscript"/>
        </w:rPr>
      </w:pPr>
      <w:r w:rsidRPr="00D06E61">
        <w:rPr>
          <w:strike/>
          <w:color w:val="FFFFFF" w:themeColor="background1"/>
          <w:spacing w:val="0"/>
          <w:vertAlign w:val="superscript"/>
        </w:rPr>
        <w:t>.</w:t>
      </w:r>
      <w:r w:rsidRPr="00AA7ED2">
        <w:rPr>
          <w:strike/>
          <w:spacing w:val="0"/>
          <w:vertAlign w:val="superscript"/>
        </w:rPr>
        <w:t xml:space="preserve">      </w:t>
      </w:r>
      <w:r>
        <w:rPr>
          <w:strike/>
          <w:spacing w:val="0"/>
          <w:vertAlign w:val="superscript"/>
        </w:rPr>
        <w:t xml:space="preserve">                </w:t>
      </w:r>
      <w:r w:rsidRPr="00AA7ED2">
        <w:rPr>
          <w:strike/>
          <w:spacing w:val="0"/>
          <w:vertAlign w:val="superscript"/>
        </w:rPr>
        <w:t xml:space="preserve">    </w:t>
      </w:r>
      <w:r w:rsidRPr="00D06E61">
        <w:rPr>
          <w:strike/>
          <w:color w:val="FFFFFF" w:themeColor="background1"/>
          <w:spacing w:val="0"/>
          <w:vertAlign w:val="superscript"/>
        </w:rPr>
        <w:t>.</w:t>
      </w:r>
    </w:p>
    <w:p w:rsidR="00A85A62" w:rsidRPr="00A85A62" w:rsidRDefault="00A85A62" w:rsidP="00A85A62">
      <w:pPr>
        <w:ind w:firstLine="0"/>
        <w:jc w:val="center"/>
        <w:rPr>
          <w:b/>
          <w:spacing w:val="0"/>
        </w:rPr>
      </w:pPr>
      <w:r w:rsidRPr="00A85A62">
        <w:rPr>
          <w:b/>
          <w:spacing w:val="0"/>
        </w:rPr>
        <w:t>CHÍNH PHỦ</w:t>
      </w:r>
    </w:p>
    <w:p w:rsidR="00A85A62" w:rsidRPr="00AE22AC" w:rsidRDefault="00A85A62" w:rsidP="009F4BA1">
      <w:pPr>
        <w:spacing w:line="288" w:lineRule="auto"/>
        <w:rPr>
          <w:i/>
          <w:spacing w:val="0"/>
        </w:rPr>
      </w:pPr>
      <w:r w:rsidRPr="00AE22AC">
        <w:rPr>
          <w:i/>
          <w:spacing w:val="0"/>
        </w:rPr>
        <w:t>Căn cứ Luật Tổ chức Chính phủ ngày 19 tháng 6 năm 2015;</w:t>
      </w:r>
    </w:p>
    <w:p w:rsidR="00A85A62" w:rsidRPr="00AE22AC" w:rsidRDefault="00A85A62" w:rsidP="009F4BA1">
      <w:pPr>
        <w:spacing w:line="288" w:lineRule="auto"/>
        <w:rPr>
          <w:i/>
          <w:spacing w:val="0"/>
        </w:rPr>
      </w:pPr>
      <w:r w:rsidRPr="00AE22AC">
        <w:rPr>
          <w:i/>
          <w:spacing w:val="0"/>
        </w:rPr>
        <w:t>Căn cứ Luật Ngân sách Nhà nước ngày 25 tháng 6 năm 2015;</w:t>
      </w:r>
    </w:p>
    <w:p w:rsidR="00A85A62" w:rsidRPr="00AE22AC" w:rsidRDefault="00A85A62" w:rsidP="009F4BA1">
      <w:pPr>
        <w:spacing w:line="288" w:lineRule="auto"/>
        <w:rPr>
          <w:i/>
          <w:spacing w:val="0"/>
        </w:rPr>
      </w:pPr>
      <w:r w:rsidRPr="00AE22AC">
        <w:rPr>
          <w:i/>
          <w:spacing w:val="0"/>
        </w:rPr>
        <w:t>Căn cứ Luật Đầu tư công ngày 18 tháng 6 năm 2014;</w:t>
      </w:r>
    </w:p>
    <w:p w:rsidR="00A85A62" w:rsidRPr="00AE22AC" w:rsidRDefault="00A85A62" w:rsidP="009F4BA1">
      <w:pPr>
        <w:spacing w:line="288" w:lineRule="auto"/>
        <w:rPr>
          <w:i/>
          <w:spacing w:val="0"/>
        </w:rPr>
      </w:pPr>
      <w:r w:rsidRPr="00AE22AC">
        <w:rPr>
          <w:i/>
          <w:spacing w:val="0"/>
        </w:rPr>
        <w:t>Căn cứ Luật Xây dựng ngày 18 tháng 6 năm 2014;</w:t>
      </w:r>
    </w:p>
    <w:p w:rsidR="00A85A62" w:rsidRPr="00AE22AC" w:rsidRDefault="008B0C33" w:rsidP="009F4BA1">
      <w:pPr>
        <w:spacing w:line="288" w:lineRule="auto"/>
        <w:rPr>
          <w:i/>
          <w:spacing w:val="0"/>
        </w:rPr>
      </w:pPr>
      <w:r w:rsidRPr="00AE22AC">
        <w:rPr>
          <w:i/>
          <w:spacing w:val="0"/>
        </w:rPr>
        <w:t xml:space="preserve">Căn </w:t>
      </w:r>
      <w:r w:rsidR="00993DE9" w:rsidRPr="00AE22AC">
        <w:rPr>
          <w:i/>
          <w:spacing w:val="0"/>
        </w:rPr>
        <w:t>cứ</w:t>
      </w:r>
      <w:r w:rsidRPr="00AE22AC">
        <w:rPr>
          <w:i/>
          <w:spacing w:val="0"/>
        </w:rPr>
        <w:t xml:space="preserve"> </w:t>
      </w:r>
      <w:r w:rsidR="00993DE9" w:rsidRPr="00AE22AC">
        <w:rPr>
          <w:i/>
          <w:spacing w:val="0"/>
        </w:rPr>
        <w:t>Nghị định số 08/2012/NĐ-CP ngày 16 tháng 02 năm 2012 của Chính phủ ban hành Quy chế làm việc của Chính phủ;</w:t>
      </w:r>
    </w:p>
    <w:p w:rsidR="00993DE9" w:rsidRPr="00AE22AC" w:rsidRDefault="00993DE9" w:rsidP="009F4BA1">
      <w:pPr>
        <w:spacing w:line="288" w:lineRule="auto"/>
        <w:rPr>
          <w:i/>
          <w:spacing w:val="0"/>
        </w:rPr>
      </w:pPr>
      <w:r w:rsidRPr="00AE22AC">
        <w:rPr>
          <w:i/>
          <w:spacing w:val="0"/>
        </w:rPr>
        <w:t>Căn cứ Nghị quyết số 01/NQ-CP ngày 01 tháng 01 năm 201</w:t>
      </w:r>
      <w:r w:rsidR="00C02BC3">
        <w:rPr>
          <w:i/>
          <w:spacing w:val="0"/>
        </w:rPr>
        <w:t>9</w:t>
      </w:r>
      <w:r w:rsidRPr="00AE22AC">
        <w:rPr>
          <w:i/>
          <w:spacing w:val="0"/>
        </w:rPr>
        <w:t xml:space="preserve"> của Chính phủ về những nhiệm vụ, giải pháp chủ yếu chỉ đạo điều hành thực hiện Kế hoạch phát triển kinh tế - xã hội và dự toán ngân sách nhà nướ</w:t>
      </w:r>
      <w:r w:rsidR="00C02BC3">
        <w:rPr>
          <w:i/>
          <w:spacing w:val="0"/>
        </w:rPr>
        <w:t>c năm 2019</w:t>
      </w:r>
      <w:r w:rsidRPr="00AE22AC">
        <w:rPr>
          <w:i/>
          <w:spacing w:val="0"/>
        </w:rPr>
        <w:t>;</w:t>
      </w:r>
    </w:p>
    <w:p w:rsidR="00993DE9" w:rsidRPr="00AE22AC" w:rsidRDefault="00B1326A" w:rsidP="009F4BA1">
      <w:pPr>
        <w:spacing w:line="288" w:lineRule="auto"/>
        <w:rPr>
          <w:i/>
          <w:spacing w:val="0"/>
        </w:rPr>
      </w:pPr>
      <w:r>
        <w:rPr>
          <w:i/>
          <w:spacing w:val="0"/>
        </w:rPr>
        <w:t>Xét đề nghị của Bộ trưởng Bộ Kế hoạch và Đầu tư</w:t>
      </w:r>
      <w:r w:rsidR="00993DE9" w:rsidRPr="00AE22AC">
        <w:rPr>
          <w:i/>
          <w:spacing w:val="0"/>
        </w:rPr>
        <w:t>,</w:t>
      </w:r>
    </w:p>
    <w:p w:rsidR="00C64C0A" w:rsidRDefault="00C64C0A" w:rsidP="00993DE9">
      <w:pPr>
        <w:ind w:firstLine="0"/>
        <w:jc w:val="center"/>
        <w:rPr>
          <w:b/>
          <w:spacing w:val="0"/>
        </w:rPr>
      </w:pPr>
    </w:p>
    <w:p w:rsidR="00993DE9" w:rsidRPr="00993DE9" w:rsidRDefault="00993DE9" w:rsidP="00993DE9">
      <w:pPr>
        <w:ind w:firstLine="0"/>
        <w:jc w:val="center"/>
        <w:rPr>
          <w:b/>
          <w:spacing w:val="0"/>
        </w:rPr>
      </w:pPr>
      <w:r w:rsidRPr="00993DE9">
        <w:rPr>
          <w:b/>
          <w:spacing w:val="0"/>
        </w:rPr>
        <w:t>QUYẾT NGHỊ:</w:t>
      </w:r>
    </w:p>
    <w:p w:rsidR="008A36BD" w:rsidRDefault="008A36BD" w:rsidP="008A36BD">
      <w:pPr>
        <w:spacing w:after="0" w:line="274" w:lineRule="auto"/>
        <w:ind w:firstLine="720"/>
        <w:rPr>
          <w:spacing w:val="0"/>
        </w:rPr>
      </w:pPr>
    </w:p>
    <w:p w:rsidR="00C02BC3" w:rsidRPr="00C02BC3" w:rsidRDefault="009F4BA1" w:rsidP="00C02BC3">
      <w:pPr>
        <w:spacing w:after="0" w:line="271" w:lineRule="auto"/>
        <w:ind w:firstLine="720"/>
      </w:pPr>
      <w:r>
        <w:rPr>
          <w:spacing w:val="0"/>
        </w:rPr>
        <w:t>Trong n</w:t>
      </w:r>
      <w:r w:rsidRPr="009F4BA1">
        <w:rPr>
          <w:spacing w:val="0"/>
        </w:rPr>
        <w:t>hững tháng đầu năm 201</w:t>
      </w:r>
      <w:r w:rsidR="00C02BC3">
        <w:rPr>
          <w:spacing w:val="0"/>
        </w:rPr>
        <w:t>9</w:t>
      </w:r>
      <w:r w:rsidRPr="009F4BA1">
        <w:rPr>
          <w:spacing w:val="0"/>
        </w:rPr>
        <w:t xml:space="preserve">, các </w:t>
      </w:r>
      <w:r w:rsidR="00484A33">
        <w:rPr>
          <w:spacing w:val="0"/>
        </w:rPr>
        <w:t xml:space="preserve">bộ, </w:t>
      </w:r>
      <w:r w:rsidR="00B30021">
        <w:rPr>
          <w:spacing w:val="0"/>
        </w:rPr>
        <w:t>cơ quan trung ương</w:t>
      </w:r>
      <w:r w:rsidR="00484A33">
        <w:rPr>
          <w:spacing w:val="0"/>
        </w:rPr>
        <w:t xml:space="preserve"> và địa phương</w:t>
      </w:r>
      <w:r w:rsidRPr="009F4BA1">
        <w:rPr>
          <w:spacing w:val="0"/>
        </w:rPr>
        <w:t xml:space="preserve"> đã tích cực triển khai thực hiện các Nghị quyết của Quốc hội, Chính phủ về phát triển kinh tế </w:t>
      </w:r>
      <w:r w:rsidR="00922B2B">
        <w:rPr>
          <w:spacing w:val="0"/>
        </w:rPr>
        <w:t xml:space="preserve">- </w:t>
      </w:r>
      <w:r w:rsidRPr="009F4BA1">
        <w:rPr>
          <w:spacing w:val="0"/>
        </w:rPr>
        <w:t>xã hội và dự toán ngân sách nhà nước năm 201</w:t>
      </w:r>
      <w:r w:rsidR="00C02BC3">
        <w:rPr>
          <w:spacing w:val="0"/>
        </w:rPr>
        <w:t>9</w:t>
      </w:r>
      <w:r w:rsidRPr="009F4BA1">
        <w:rPr>
          <w:spacing w:val="0"/>
        </w:rPr>
        <w:t xml:space="preserve">. </w:t>
      </w:r>
      <w:r w:rsidR="00C02BC3">
        <w:rPr>
          <w:spacing w:val="0"/>
        </w:rPr>
        <w:t>T</w:t>
      </w:r>
      <w:r w:rsidR="00C02BC3" w:rsidRPr="00C02BC3">
        <w:rPr>
          <w:spacing w:val="0"/>
          <w:lang w:val="vi-VN"/>
        </w:rPr>
        <w:t>ăng trưởng tổng sản phẩm trong nước (GDP) 6 tháng </w:t>
      </w:r>
      <w:r w:rsidR="00C02BC3" w:rsidRPr="00C02BC3">
        <w:rPr>
          <w:spacing w:val="0"/>
        </w:rPr>
        <w:t>đ</w:t>
      </w:r>
      <w:r w:rsidR="00C02BC3" w:rsidRPr="00C02BC3">
        <w:rPr>
          <w:spacing w:val="0"/>
          <w:lang w:val="vi-VN"/>
        </w:rPr>
        <w:t>ầu năm 2019 ước đạt 6</w:t>
      </w:r>
      <w:proofErr w:type="gramStart"/>
      <w:r w:rsidR="00C02BC3" w:rsidRPr="00C02BC3">
        <w:rPr>
          <w:spacing w:val="0"/>
          <w:lang w:val="vi-VN"/>
        </w:rPr>
        <w:t>,76</w:t>
      </w:r>
      <w:proofErr w:type="gramEnd"/>
      <w:r w:rsidR="00C02BC3" w:rsidRPr="00C02BC3">
        <w:rPr>
          <w:spacing w:val="0"/>
          <w:lang w:val="vi-VN"/>
        </w:rPr>
        <w:t>%, cao hơn cùng kỳ giai đoạn 2011 - 2017.</w:t>
      </w:r>
      <w:r w:rsidR="00C02BC3" w:rsidRPr="00C02BC3">
        <w:rPr>
          <w:lang w:val="vi-VN"/>
        </w:rPr>
        <w:t> </w:t>
      </w:r>
      <w:r w:rsidR="00AF0FA7">
        <w:t xml:space="preserve">Tình trạng giải ngân 9 </w:t>
      </w:r>
      <w:r w:rsidR="00C02BC3" w:rsidRPr="00C02BC3">
        <w:rPr>
          <w:lang w:val="vi-VN"/>
        </w:rPr>
        <w:t xml:space="preserve">tháng đầu năm 2019 rất thấp, chỉ đạt </w:t>
      </w:r>
      <w:r w:rsidR="00275FA4">
        <w:t>45,17</w:t>
      </w:r>
      <w:r w:rsidR="00C02BC3" w:rsidRPr="00C02BC3">
        <w:rPr>
          <w:lang w:val="vi-VN"/>
        </w:rPr>
        <w:t>% kế hoạch được Quốc hội thông qua, trong đó giải ngân vốn nước ngoài chỉ </w:t>
      </w:r>
      <w:r w:rsidR="00C02BC3" w:rsidRPr="00C02BC3">
        <w:t>đ</w:t>
      </w:r>
      <w:r w:rsidR="00C02BC3" w:rsidRPr="00C02BC3">
        <w:rPr>
          <w:lang w:val="vi-VN"/>
        </w:rPr>
        <w:t xml:space="preserve">ạt </w:t>
      </w:r>
      <w:r w:rsidR="00275FA4">
        <w:t>18,8</w:t>
      </w:r>
      <w:r w:rsidR="00C02BC3" w:rsidRPr="00C02BC3">
        <w:rPr>
          <w:lang w:val="vi-VN"/>
        </w:rPr>
        <w:t xml:space="preserve">%, thấp hơn nhiều so với cùng kỳ năm 2018 (cùng kỳ đạt </w:t>
      </w:r>
      <w:r w:rsidR="00275FA4">
        <w:t>50</w:t>
      </w:r>
      <w:r w:rsidR="00C02BC3" w:rsidRPr="00C02BC3">
        <w:rPr>
          <w:lang w:val="vi-VN"/>
        </w:rPr>
        <w:t>,</w:t>
      </w:r>
      <w:r w:rsidR="00275FA4">
        <w:t>93</w:t>
      </w:r>
      <w:r w:rsidR="00C02BC3" w:rsidRPr="00C02BC3">
        <w:rPr>
          <w:lang w:val="vi-VN"/>
        </w:rPr>
        <w:t>%, vốn nước ngoài đạt 2</w:t>
      </w:r>
      <w:r w:rsidR="00275FA4">
        <w:t>7</w:t>
      </w:r>
      <w:r w:rsidR="00C02BC3" w:rsidRPr="00C02BC3">
        <w:rPr>
          <w:lang w:val="vi-VN"/>
        </w:rPr>
        <w:t>,</w:t>
      </w:r>
      <w:r w:rsidR="00275FA4">
        <w:t>28</w:t>
      </w:r>
      <w:r w:rsidR="00C02BC3" w:rsidRPr="00C02BC3">
        <w:rPr>
          <w:lang w:val="vi-VN"/>
        </w:rPr>
        <w:t xml:space="preserve">%). Có </w:t>
      </w:r>
      <w:r w:rsidR="00275FA4">
        <w:t>31</w:t>
      </w:r>
      <w:r w:rsidR="00C02BC3" w:rsidRPr="00C02BC3">
        <w:rPr>
          <w:lang w:val="vi-VN"/>
        </w:rPr>
        <w:t xml:space="preserve"> bộ, cơ quan trung ương và </w:t>
      </w:r>
      <w:r w:rsidR="00275FA4">
        <w:t>1</w:t>
      </w:r>
      <w:r w:rsidR="009C6466">
        <w:t>9</w:t>
      </w:r>
      <w:r w:rsidR="00C02BC3" w:rsidRPr="00C02BC3">
        <w:rPr>
          <w:lang w:val="vi-VN"/>
        </w:rPr>
        <w:t xml:space="preserve"> địa phương có tỷ l</w:t>
      </w:r>
      <w:r w:rsidR="00C02BC3" w:rsidRPr="00C02BC3">
        <w:t>ệ </w:t>
      </w:r>
      <w:r w:rsidR="00C02BC3" w:rsidRPr="00C02BC3">
        <w:rPr>
          <w:lang w:val="vi-VN"/>
        </w:rPr>
        <w:t xml:space="preserve">giải ngân </w:t>
      </w:r>
      <w:r w:rsidR="00275FA4">
        <w:t>9</w:t>
      </w:r>
      <w:r w:rsidR="00C02BC3" w:rsidRPr="00C02BC3">
        <w:rPr>
          <w:lang w:val="vi-VN"/>
        </w:rPr>
        <w:t xml:space="preserve"> tháng </w:t>
      </w:r>
      <w:r w:rsidR="00C02BC3" w:rsidRPr="00C02BC3">
        <w:t>đ</w:t>
      </w:r>
      <w:r w:rsidR="00C02BC3" w:rsidRPr="00C02BC3">
        <w:rPr>
          <w:lang w:val="vi-VN"/>
        </w:rPr>
        <w:t xml:space="preserve">ạt dưới </w:t>
      </w:r>
      <w:r w:rsidR="00275FA4">
        <w:t>5</w:t>
      </w:r>
      <w:r w:rsidR="00C02BC3" w:rsidRPr="00C02BC3">
        <w:rPr>
          <w:lang w:val="vi-VN"/>
        </w:rPr>
        <w:t>0%; </w:t>
      </w:r>
      <w:r w:rsidR="00C02BC3" w:rsidRPr="00C02BC3">
        <w:t>tr</w:t>
      </w:r>
      <w:r w:rsidR="00C02BC3" w:rsidRPr="00C02BC3">
        <w:rPr>
          <w:lang w:val="vi-VN"/>
        </w:rPr>
        <w:t>ong đó 1</w:t>
      </w:r>
      <w:r w:rsidR="00275FA4">
        <w:t>7</w:t>
      </w:r>
      <w:r w:rsidR="00C02BC3" w:rsidRPr="00C02BC3">
        <w:rPr>
          <w:lang w:val="vi-VN"/>
        </w:rPr>
        <w:t xml:space="preserve"> bộ, cơ quan trung ương và 01 địa phương dưới </w:t>
      </w:r>
      <w:r w:rsidR="00275FA4">
        <w:t>3</w:t>
      </w:r>
      <w:r w:rsidR="00C02BC3" w:rsidRPr="00C02BC3">
        <w:rPr>
          <w:lang w:val="vi-VN"/>
        </w:rPr>
        <w:t>0% kế hoạch </w:t>
      </w:r>
      <w:r w:rsidR="00C02BC3" w:rsidRPr="00C02BC3">
        <w:t>đ</w:t>
      </w:r>
      <w:r w:rsidR="00C02BC3" w:rsidRPr="00C02BC3">
        <w:rPr>
          <w:lang w:val="vi-VN"/>
        </w:rPr>
        <w:t xml:space="preserve">ược Quốc hội giao. Tỷ lệ giải </w:t>
      </w:r>
      <w:r w:rsidR="00C02BC3" w:rsidRPr="00C02BC3">
        <w:rPr>
          <w:lang w:val="vi-VN"/>
        </w:rPr>
        <w:lastRenderedPageBreak/>
        <w:t>ngân thấp làm giảm hiệu quả sử dụng vốn đầu tư công, ảnh hưởng đến các ngành, lĩnh vực, tăng trưởng kinh t</w:t>
      </w:r>
      <w:r w:rsidR="00C02BC3" w:rsidRPr="00C02BC3">
        <w:t>ế</w:t>
      </w:r>
      <w:r w:rsidR="00C02BC3" w:rsidRPr="00C02BC3">
        <w:rPr>
          <w:lang w:val="vi-VN"/>
        </w:rPr>
        <w:t>, việc triển khai các chính sách tài khóa, tiền tệ, tác động đến môi trường đầu tư, kinh doanh và các hiệp định đã ký kết.</w:t>
      </w:r>
    </w:p>
    <w:p w:rsidR="00C02BC3" w:rsidRPr="00C02BC3" w:rsidRDefault="00C02BC3" w:rsidP="00C02BC3">
      <w:pPr>
        <w:spacing w:after="0" w:line="271" w:lineRule="auto"/>
        <w:ind w:firstLine="720"/>
        <w:rPr>
          <w:spacing w:val="0"/>
        </w:rPr>
      </w:pPr>
      <w:r w:rsidRPr="00C02BC3">
        <w:rPr>
          <w:spacing w:val="0"/>
          <w:lang w:val="vi-VN"/>
        </w:rPr>
        <w:t>Bên cạnh một số nguyên nhân khách quan thì nguyên nhân chính dẫn đến tình trạng chậm giải ngân vốn đầu tư công hiện nay là do yếu tố chủ quan, nhất là những t</w:t>
      </w:r>
      <w:r w:rsidRPr="00C02BC3">
        <w:rPr>
          <w:spacing w:val="0"/>
        </w:rPr>
        <w:t>ồ</w:t>
      </w:r>
      <w:r w:rsidRPr="00C02BC3">
        <w:rPr>
          <w:spacing w:val="0"/>
          <w:lang w:val="vi-VN"/>
        </w:rPr>
        <w:t>n tại, yếu kém trong công tác quản lý, đi</w:t>
      </w:r>
      <w:r w:rsidRPr="00C02BC3">
        <w:rPr>
          <w:spacing w:val="0"/>
        </w:rPr>
        <w:t>ề</w:t>
      </w:r>
      <w:r w:rsidRPr="00C02BC3">
        <w:rPr>
          <w:spacing w:val="0"/>
          <w:lang w:val="vi-VN"/>
        </w:rPr>
        <w:t>u hành, t</w:t>
      </w:r>
      <w:r w:rsidRPr="00C02BC3">
        <w:rPr>
          <w:spacing w:val="0"/>
        </w:rPr>
        <w:t>ổ </w:t>
      </w:r>
      <w:r w:rsidRPr="00C02BC3">
        <w:rPr>
          <w:spacing w:val="0"/>
          <w:lang w:val="vi-VN"/>
        </w:rPr>
        <w:t>chức thực hiện, như: giao vốn chậm (cả trung ương và địa phương); dự kiến nhu cầu vốn chưa sát với khả năng thực tế giải ngân; công tác thiết kế thi công, đấu thầu lựa chọn nhà thầu chậm; việc giải phóng mặt bằng chưa được giải quyết dứt điểm; thanh, quyết toán còn chậm; công tác phối hợp và chỉ đạo điều hành ở một số bộ, cơ quan trung ương và địa phương chưa chủ động, thi</w:t>
      </w:r>
      <w:r w:rsidRPr="00C02BC3">
        <w:rPr>
          <w:spacing w:val="0"/>
        </w:rPr>
        <w:t>ế</w:t>
      </w:r>
      <w:r w:rsidRPr="00C02BC3">
        <w:rPr>
          <w:spacing w:val="0"/>
          <w:lang w:val="vi-VN"/>
        </w:rPr>
        <w:t>u quy</w:t>
      </w:r>
      <w:r w:rsidRPr="00C02BC3">
        <w:rPr>
          <w:spacing w:val="0"/>
        </w:rPr>
        <w:t>ế</w:t>
      </w:r>
      <w:r w:rsidRPr="00C02BC3">
        <w:rPr>
          <w:spacing w:val="0"/>
          <w:lang w:val="vi-VN"/>
        </w:rPr>
        <w:t>t liệt; vai trò, trách nhiệm của người đứng đầu chưa được đề cao.</w:t>
      </w:r>
    </w:p>
    <w:p w:rsidR="00A81377" w:rsidRPr="00A81377" w:rsidRDefault="009D5F6C" w:rsidP="008A36BD">
      <w:pPr>
        <w:spacing w:after="0" w:line="271" w:lineRule="auto"/>
        <w:ind w:firstLine="720"/>
        <w:rPr>
          <w:spacing w:val="0"/>
        </w:rPr>
      </w:pPr>
      <w:r>
        <w:rPr>
          <w:spacing w:val="0"/>
        </w:rPr>
        <w:t xml:space="preserve">Nhằm phấn đấu giải ngân </w:t>
      </w:r>
      <w:r w:rsidR="00DB5A85">
        <w:rPr>
          <w:spacing w:val="0"/>
        </w:rPr>
        <w:t>hết</w:t>
      </w:r>
      <w:r>
        <w:rPr>
          <w:spacing w:val="0"/>
        </w:rPr>
        <w:t xml:space="preserve"> kế hoạch vốn đ</w:t>
      </w:r>
      <w:r w:rsidR="00457983">
        <w:rPr>
          <w:spacing w:val="0"/>
        </w:rPr>
        <w:t>ầ</w:t>
      </w:r>
      <w:r>
        <w:rPr>
          <w:spacing w:val="0"/>
        </w:rPr>
        <w:t>u tư công năm 201</w:t>
      </w:r>
      <w:r w:rsidR="00C02BC3">
        <w:rPr>
          <w:spacing w:val="0"/>
        </w:rPr>
        <w:t>9</w:t>
      </w:r>
      <w:r>
        <w:rPr>
          <w:spacing w:val="0"/>
        </w:rPr>
        <w:t xml:space="preserve"> thuộc tất cả các nguồn vốn, góp phần thực hiện mục tiêu phát triển kinh tế - xã hội năm 201</w:t>
      </w:r>
      <w:r w:rsidR="00C02BC3">
        <w:rPr>
          <w:spacing w:val="0"/>
        </w:rPr>
        <w:t>9</w:t>
      </w:r>
      <w:r>
        <w:rPr>
          <w:spacing w:val="0"/>
        </w:rPr>
        <w:t>; t</w:t>
      </w:r>
      <w:r w:rsidRPr="009E78F6">
        <w:rPr>
          <w:spacing w:val="0"/>
        </w:rPr>
        <w:t>ăng cường kỷ luật, kỷ cương</w:t>
      </w:r>
      <w:r>
        <w:rPr>
          <w:spacing w:val="0"/>
        </w:rPr>
        <w:t>;</w:t>
      </w:r>
      <w:r w:rsidRPr="009E78F6">
        <w:rPr>
          <w:spacing w:val="0"/>
        </w:rPr>
        <w:t xml:space="preserve"> nâng cao trách nhiệm</w:t>
      </w:r>
      <w:r>
        <w:rPr>
          <w:spacing w:val="0"/>
        </w:rPr>
        <w:t xml:space="preserve"> của</w:t>
      </w:r>
      <w:r w:rsidRPr="009E78F6">
        <w:rPr>
          <w:spacing w:val="0"/>
        </w:rPr>
        <w:t xml:space="preserve"> </w:t>
      </w:r>
      <w:r>
        <w:rPr>
          <w:spacing w:val="0"/>
        </w:rPr>
        <w:t xml:space="preserve">người đứng đầu, của </w:t>
      </w:r>
      <w:r w:rsidRPr="009E78F6">
        <w:rPr>
          <w:spacing w:val="0"/>
        </w:rPr>
        <w:t>công chức và đạo đức công vụ; tăng cường công tác phối hợp theo dõi, kiểm tra, thanh tra và thực hiện kế hoạch</w:t>
      </w:r>
      <w:r>
        <w:rPr>
          <w:spacing w:val="0"/>
        </w:rPr>
        <w:t xml:space="preserve">, </w:t>
      </w:r>
      <w:r w:rsidR="00A81377" w:rsidRPr="00A81377">
        <w:rPr>
          <w:spacing w:val="0"/>
        </w:rPr>
        <w:t xml:space="preserve">Chính phủ yêu cầu Bộ trưởng, Thủ trưởng cơ quan ngang bộ, cơ quan thuộc Chính phủ, các đơn vị dự toán cấp I, Chủ tịch Ủy ban nhân dân các tỉnh, thành phố trực thuộc Trung ương tăng cường </w:t>
      </w:r>
      <w:r w:rsidR="001A57BD">
        <w:rPr>
          <w:spacing w:val="0"/>
        </w:rPr>
        <w:t xml:space="preserve">trách nhiệm của người đứng đầu, </w:t>
      </w:r>
      <w:r w:rsidR="00A81377" w:rsidRPr="00A81377">
        <w:rPr>
          <w:spacing w:val="0"/>
        </w:rPr>
        <w:t xml:space="preserve">chỉ đạo quyết liệt, </w:t>
      </w:r>
      <w:r w:rsidR="001A57BD">
        <w:rPr>
          <w:spacing w:val="0"/>
        </w:rPr>
        <w:t xml:space="preserve">thực hiện </w:t>
      </w:r>
      <w:r w:rsidR="00A81377" w:rsidRPr="00A81377">
        <w:rPr>
          <w:spacing w:val="0"/>
        </w:rPr>
        <w:t>đồng bộ các nhiệm vụ, giải pháp đã đề ra trong các Nghị quyết của Đảng, Quốc hội, Chính phủ, kịp thời có các giải pháp cụ thể để khắc phục khó khăn, vướng mắc phát sinh</w:t>
      </w:r>
      <w:r w:rsidR="001A57BD">
        <w:rPr>
          <w:spacing w:val="0"/>
        </w:rPr>
        <w:t>,</w:t>
      </w:r>
      <w:r w:rsidR="00A81377" w:rsidRPr="00A81377">
        <w:rPr>
          <w:spacing w:val="0"/>
        </w:rPr>
        <w:t xml:space="preserve"> trong đó tập trung thực hiện các giải pháp sau:</w:t>
      </w:r>
    </w:p>
    <w:p w:rsidR="00AE77E1" w:rsidRDefault="00AE77E1" w:rsidP="008A36BD">
      <w:pPr>
        <w:spacing w:after="0" w:line="271" w:lineRule="auto"/>
        <w:ind w:firstLine="720"/>
        <w:rPr>
          <w:spacing w:val="0"/>
        </w:rPr>
      </w:pPr>
      <w:r w:rsidRPr="00AE77E1">
        <w:rPr>
          <w:spacing w:val="0"/>
        </w:rPr>
        <w:t>1. Tiếp tục rà soát, hoàn thiện khung khổ pháp lý, bảo đảm tính thống nhất, đồng bộ của hệ thống pháp luật về quản lý đầu tư, tháo gỡ kịp thời các rào cản khó khăn, vướng mắc và tạo điều kiện thuận lợi đẩy nhanh tiến độ thực hiện giải ngân và nâng cao hiệu quả các dự án đầu tư công.</w:t>
      </w:r>
      <w:r w:rsidR="00B1326A">
        <w:rPr>
          <w:spacing w:val="0"/>
        </w:rPr>
        <w:t xml:space="preserve"> </w:t>
      </w:r>
    </w:p>
    <w:p w:rsidR="00C02BC3" w:rsidRDefault="00145162" w:rsidP="008A36BD">
      <w:pPr>
        <w:spacing w:after="0" w:line="271" w:lineRule="auto"/>
        <w:ind w:firstLine="720"/>
        <w:rPr>
          <w:spacing w:val="0"/>
        </w:rPr>
      </w:pPr>
      <w:r>
        <w:rPr>
          <w:spacing w:val="0"/>
        </w:rPr>
        <w:t>a</w:t>
      </w:r>
      <w:r w:rsidR="00EE5C98">
        <w:rPr>
          <w:spacing w:val="0"/>
        </w:rPr>
        <w:t xml:space="preserve">) Bộ Kế hoạch và Đầu tư </w:t>
      </w:r>
      <w:r w:rsidR="00C02BC3">
        <w:rPr>
          <w:spacing w:val="0"/>
        </w:rPr>
        <w:t>chủ trì, phối hợp với các bộ</w:t>
      </w:r>
      <w:r w:rsidR="00B30021">
        <w:rPr>
          <w:spacing w:val="0"/>
        </w:rPr>
        <w:t xml:space="preserve">, cơ quan trung ương </w:t>
      </w:r>
      <w:r w:rsidR="00C02BC3">
        <w:rPr>
          <w:spacing w:val="0"/>
        </w:rPr>
        <w:t xml:space="preserve">và địa phương liên quan </w:t>
      </w:r>
      <w:r w:rsidR="00EE5C98">
        <w:rPr>
          <w:spacing w:val="0"/>
        </w:rPr>
        <w:t>khẩ</w:t>
      </w:r>
      <w:r w:rsidR="00C02BC3">
        <w:rPr>
          <w:spacing w:val="0"/>
        </w:rPr>
        <w:t xml:space="preserve">n trương rà soát, đánh giá toàn diện các quy định về quản lý đàu tư công, xây dựng cơ bản, trình Chính phủ ban hành các Nghị định </w:t>
      </w:r>
      <w:r w:rsidR="00644FF0">
        <w:t xml:space="preserve">thay thế </w:t>
      </w:r>
      <w:r w:rsidR="005A2A3A">
        <w:t xml:space="preserve">các </w:t>
      </w:r>
      <w:r w:rsidR="00644FF0">
        <w:t xml:space="preserve">Nghị định số </w:t>
      </w:r>
      <w:r w:rsidR="005A2A3A">
        <w:t xml:space="preserve">77/2015/NĐ-CP ngày 10 tháng 9 năm 2015 của Chính phủ về kế hoạch đầu tư công trung hạn và hằng năm, 136/2015/NĐ-CP ngày 31 tháng 12 năm 2015 của Chính phủ hướng dẫn thi hành một số điều của Luật Đầu tư công, 120/2018/NĐ-CP ngày 13 tháng 9 năm 2018 của Chính phủ </w:t>
      </w:r>
      <w:r w:rsidR="005A2A3A" w:rsidRPr="005A2A3A">
        <w:t>về sửa đổi, bổ sung một số điều nghị định số </w:t>
      </w:r>
      <w:r w:rsidR="005A2A3A">
        <w:t>77/2015/NĐ-CP</w:t>
      </w:r>
      <w:r w:rsidR="005A2A3A" w:rsidRPr="005A2A3A">
        <w:t> ngày 10 tháng 9 năm 2015 của chính phủ về kế hoạch đầu tư công trung hạn và hằng năm, số 1</w:t>
      </w:r>
      <w:r w:rsidR="005A2A3A">
        <w:t>36/2015/NĐ-CP</w:t>
      </w:r>
      <w:r w:rsidR="005A2A3A" w:rsidRPr="005A2A3A">
        <w:t> ngày 31 tháng 12 năm 2015 của chính phủ về hướng dẫn thi hành một số điều của luật đầu tư công và số </w:t>
      </w:r>
      <w:r w:rsidR="005A2A3A">
        <w:t xml:space="preserve">161/NĐ-CP </w:t>
      </w:r>
      <w:r w:rsidR="005A2A3A" w:rsidRPr="005A2A3A">
        <w:t xml:space="preserve">ngày 02 tháng 12 năm </w:t>
      </w:r>
      <w:r w:rsidR="005A2A3A" w:rsidRPr="005A2A3A">
        <w:lastRenderedPageBreak/>
        <w:t>2016 của chính phủ về cơ chế đặc thù trong quản lý đầu tư xây dựng đối với một số dự án thuộc các chương trình mục tiêu quốc gia giai đoạn 2016 - 2020;</w:t>
      </w:r>
      <w:r w:rsidR="005A2A3A">
        <w:t xml:space="preserve"> </w:t>
      </w:r>
      <w:r w:rsidR="00644FF0">
        <w:t>16/2016/NĐ-CP ngày 16 tháng 3 năm 2016 về quản lý và sử dụng vốn hỗ trợ phát triển chính thức (ODA) và vốn vay ưu đãi của các nhà tài trợ nước ngoài và số 132/2018/NĐ-CP ngày 01 tháng 10 năm 2018 về sửa đổi, bổ sung một số điều của Nghị định số 16/2016/NĐ-CP ngày 16/3/2016 về quản lý và sử dụng vốn hỗ trợ phát triển chính thức (ODA) và vốn vay ưu đãi của các nhà tài trợ nước ngoài</w:t>
      </w:r>
      <w:r w:rsidR="00C02BC3">
        <w:rPr>
          <w:spacing w:val="0"/>
        </w:rPr>
        <w:t>.</w:t>
      </w:r>
    </w:p>
    <w:p w:rsidR="007C7F84" w:rsidRDefault="00AF2163" w:rsidP="008A36BD">
      <w:pPr>
        <w:spacing w:after="0" w:line="271" w:lineRule="auto"/>
        <w:ind w:firstLine="720"/>
        <w:rPr>
          <w:spacing w:val="0"/>
        </w:rPr>
      </w:pPr>
      <w:r>
        <w:rPr>
          <w:spacing w:val="0"/>
        </w:rPr>
        <w:t>b</w:t>
      </w:r>
      <w:r w:rsidR="006068D7">
        <w:rPr>
          <w:spacing w:val="0"/>
        </w:rPr>
        <w:t>) Bộ Tài chính</w:t>
      </w:r>
      <w:r w:rsidR="00022144">
        <w:rPr>
          <w:spacing w:val="0"/>
        </w:rPr>
        <w:t>:</w:t>
      </w:r>
    </w:p>
    <w:p w:rsidR="007C7F84" w:rsidRDefault="007C7F84" w:rsidP="008A36BD">
      <w:pPr>
        <w:spacing w:after="0" w:line="271" w:lineRule="auto"/>
        <w:ind w:firstLine="720"/>
        <w:rPr>
          <w:spacing w:val="0"/>
        </w:rPr>
      </w:pPr>
      <w:r w:rsidRPr="00917E0F">
        <w:rPr>
          <w:spacing w:val="0"/>
        </w:rPr>
        <w:t xml:space="preserve">- </w:t>
      </w:r>
      <w:r w:rsidR="00C02BC3" w:rsidRPr="00C02BC3">
        <w:rPr>
          <w:spacing w:val="0"/>
        </w:rPr>
        <w:t>Rà soát, báo cáo Thủ tướng Chính phủ trong tháng 10 năm 2019 về các vướng mắc (nếu có) trong việc thực hiện chức năng quản lý nhà nước và công tác đàm phán hiệp định từ khi Luật Quản lý nợ công năm 2017 có hiệu lực; nguyên nhân và giải pháp khắc phục.</w:t>
      </w:r>
    </w:p>
    <w:p w:rsidR="00644FF0" w:rsidRDefault="00644FF0" w:rsidP="008A36BD">
      <w:pPr>
        <w:spacing w:after="0" w:line="271" w:lineRule="auto"/>
        <w:ind w:firstLine="720"/>
        <w:rPr>
          <w:spacing w:val="0"/>
        </w:rPr>
      </w:pPr>
      <w:r>
        <w:rPr>
          <w:spacing w:val="0"/>
        </w:rPr>
        <w:t xml:space="preserve">- Phối hợp với các bộ, </w:t>
      </w:r>
      <w:r w:rsidR="00B30021">
        <w:rPr>
          <w:spacing w:val="0"/>
        </w:rPr>
        <w:t>cơ quan trung ương</w:t>
      </w:r>
      <w:r>
        <w:rPr>
          <w:spacing w:val="0"/>
        </w:rPr>
        <w:t xml:space="preserve"> và địa phương xây dựng chế tài xử phạt đối với các đơn vị chậm nộp báo cáo quyết toán dự </w:t>
      </w:r>
      <w:proofErr w:type="gramStart"/>
      <w:r>
        <w:rPr>
          <w:spacing w:val="0"/>
        </w:rPr>
        <w:t>án</w:t>
      </w:r>
      <w:proofErr w:type="gramEnd"/>
      <w:r>
        <w:rPr>
          <w:spacing w:val="0"/>
        </w:rPr>
        <w:t xml:space="preserve"> hoàn thành sử dụng vốn ngân sách nhà nước.</w:t>
      </w:r>
    </w:p>
    <w:p w:rsidR="00AE77E1" w:rsidRDefault="007C7F84" w:rsidP="008A36BD">
      <w:pPr>
        <w:spacing w:after="0" w:line="271" w:lineRule="auto"/>
        <w:ind w:firstLine="720"/>
        <w:rPr>
          <w:spacing w:val="0"/>
        </w:rPr>
      </w:pPr>
      <w:r>
        <w:rPr>
          <w:spacing w:val="0"/>
        </w:rPr>
        <w:t>- Tiếp tục</w:t>
      </w:r>
      <w:r w:rsidR="008176B7" w:rsidRPr="00AE77E1">
        <w:rPr>
          <w:spacing w:val="0"/>
        </w:rPr>
        <w:t xml:space="preserve"> rà soát thủ tục giải ngân nhằm tạo thuận lợi cho chủ đầu tư thanh, quyết toán vốn đầu tư công năm 201</w:t>
      </w:r>
      <w:r w:rsidR="00C02BC3">
        <w:rPr>
          <w:spacing w:val="0"/>
        </w:rPr>
        <w:t>9</w:t>
      </w:r>
      <w:r w:rsidR="008176B7">
        <w:rPr>
          <w:spacing w:val="0"/>
        </w:rPr>
        <w:t xml:space="preserve">; tăng cường công tác quản lý, theo dõi, giám sát, cập nhật thông tin giải ngân kế hoạch </w:t>
      </w:r>
      <w:r w:rsidR="00457983">
        <w:rPr>
          <w:spacing w:val="0"/>
        </w:rPr>
        <w:t xml:space="preserve">đầu tư công </w:t>
      </w:r>
      <w:r w:rsidR="008176B7">
        <w:rPr>
          <w:spacing w:val="0"/>
        </w:rPr>
        <w:t>năm 201</w:t>
      </w:r>
      <w:r w:rsidR="00C02BC3">
        <w:rPr>
          <w:spacing w:val="0"/>
        </w:rPr>
        <w:t>9</w:t>
      </w:r>
      <w:r w:rsidR="008176B7">
        <w:rPr>
          <w:spacing w:val="0"/>
        </w:rPr>
        <w:t xml:space="preserve"> </w:t>
      </w:r>
      <w:r w:rsidR="0031092B">
        <w:rPr>
          <w:spacing w:val="0"/>
        </w:rPr>
        <w:t xml:space="preserve">đối với </w:t>
      </w:r>
      <w:r w:rsidR="008176B7">
        <w:rPr>
          <w:spacing w:val="0"/>
        </w:rPr>
        <w:t>các chương trình, dự</w:t>
      </w:r>
      <w:r w:rsidR="0031092B">
        <w:rPr>
          <w:spacing w:val="0"/>
        </w:rPr>
        <w:t xml:space="preserve"> án</w:t>
      </w:r>
      <w:r w:rsidR="008176B7">
        <w:rPr>
          <w:spacing w:val="0"/>
        </w:rPr>
        <w:t xml:space="preserve"> của các </w:t>
      </w:r>
      <w:r w:rsidR="00484A33">
        <w:rPr>
          <w:spacing w:val="0"/>
        </w:rPr>
        <w:t>bộ</w:t>
      </w:r>
      <w:r w:rsidR="00275FA4">
        <w:rPr>
          <w:spacing w:val="0"/>
        </w:rPr>
        <w:t>, cơ quan trung ương</w:t>
      </w:r>
      <w:r w:rsidR="00484A33">
        <w:rPr>
          <w:spacing w:val="0"/>
        </w:rPr>
        <w:t xml:space="preserve"> và địa phương</w:t>
      </w:r>
      <w:r w:rsidR="008176B7">
        <w:rPr>
          <w:spacing w:val="0"/>
        </w:rPr>
        <w:t xml:space="preserve">, đảm bảo thông tin, số liệu giải ngân đầy đủ, kịp thời, chính xác. </w:t>
      </w:r>
    </w:p>
    <w:p w:rsidR="007C7F84" w:rsidRDefault="0087574E" w:rsidP="008A36BD">
      <w:pPr>
        <w:spacing w:after="0" w:line="271" w:lineRule="auto"/>
        <w:ind w:firstLine="720"/>
        <w:rPr>
          <w:spacing w:val="0"/>
        </w:rPr>
      </w:pPr>
      <w:r>
        <w:rPr>
          <w:spacing w:val="0"/>
        </w:rPr>
        <w:t xml:space="preserve">c) Bộ Xây dựng: </w:t>
      </w:r>
      <w:r w:rsidR="00C229C9">
        <w:rPr>
          <w:spacing w:val="0"/>
        </w:rPr>
        <w:t>T</w:t>
      </w:r>
      <w:r>
        <w:rPr>
          <w:spacing w:val="0"/>
        </w:rPr>
        <w:t>iếp tục rà soát các quy định của pháp luật liên quan đến xây dựng, các thủ tục về thẩm định,</w:t>
      </w:r>
      <w:r w:rsidR="00C02BC3">
        <w:rPr>
          <w:spacing w:val="0"/>
        </w:rPr>
        <w:t xml:space="preserve"> </w:t>
      </w:r>
      <w:r w:rsidR="00C02BC3" w:rsidRPr="003A2D39">
        <w:rPr>
          <w:iCs/>
          <w:szCs w:val="28"/>
        </w:rPr>
        <w:t>phê duyệt thiết kế - dự</w:t>
      </w:r>
      <w:r w:rsidR="00C02BC3">
        <w:rPr>
          <w:iCs/>
          <w:szCs w:val="28"/>
        </w:rPr>
        <w:t xml:space="preserve"> toán công trình, </w:t>
      </w:r>
      <w:r>
        <w:rPr>
          <w:spacing w:val="0"/>
        </w:rPr>
        <w:t xml:space="preserve">thẩm tra, cấp giấy phép... </w:t>
      </w:r>
      <w:r w:rsidR="00644FF0">
        <w:rPr>
          <w:spacing w:val="0"/>
        </w:rPr>
        <w:t xml:space="preserve">rút ngắn thời gian các thủ tục này. </w:t>
      </w:r>
    </w:p>
    <w:p w:rsidR="000977E6" w:rsidRPr="000977E6" w:rsidRDefault="000977E6" w:rsidP="008A36BD">
      <w:pPr>
        <w:spacing w:after="0" w:line="271" w:lineRule="auto"/>
        <w:ind w:firstLine="720"/>
        <w:rPr>
          <w:spacing w:val="0"/>
        </w:rPr>
      </w:pPr>
      <w:r w:rsidRPr="000977E6">
        <w:rPr>
          <w:spacing w:val="0"/>
        </w:rPr>
        <w:t xml:space="preserve">2. Khẩn trương hoàn thành việc giao chi tiết kế hoạch đầu tư </w:t>
      </w:r>
      <w:r w:rsidR="0031092B">
        <w:rPr>
          <w:spacing w:val="0"/>
        </w:rPr>
        <w:t>công</w:t>
      </w:r>
      <w:r w:rsidRPr="000977E6">
        <w:rPr>
          <w:spacing w:val="0"/>
        </w:rPr>
        <w:t xml:space="preserve"> năm 201</w:t>
      </w:r>
      <w:r w:rsidR="00C02BC3">
        <w:rPr>
          <w:spacing w:val="0"/>
        </w:rPr>
        <w:t>9</w:t>
      </w:r>
      <w:r>
        <w:rPr>
          <w:spacing w:val="0"/>
        </w:rPr>
        <w:t>.</w:t>
      </w:r>
    </w:p>
    <w:p w:rsidR="0036645B" w:rsidRDefault="000977E6" w:rsidP="008A36BD">
      <w:pPr>
        <w:spacing w:after="0" w:line="271" w:lineRule="auto"/>
        <w:ind w:firstLine="720"/>
        <w:rPr>
          <w:spacing w:val="0"/>
        </w:rPr>
      </w:pPr>
      <w:r w:rsidRPr="000977E6">
        <w:rPr>
          <w:spacing w:val="0"/>
        </w:rPr>
        <w:t>a) Bộ Kế hoạch và Đầu tư</w:t>
      </w:r>
      <w:r w:rsidR="00D14B2F">
        <w:rPr>
          <w:spacing w:val="0"/>
        </w:rPr>
        <w:t xml:space="preserve"> chủ trì:</w:t>
      </w:r>
      <w:r w:rsidRPr="000977E6">
        <w:rPr>
          <w:spacing w:val="0"/>
        </w:rPr>
        <w:t xml:space="preserve"> </w:t>
      </w:r>
    </w:p>
    <w:p w:rsidR="00644FF0" w:rsidRPr="00DB059B" w:rsidRDefault="00644FF0" w:rsidP="00644FF0">
      <w:pPr>
        <w:tabs>
          <w:tab w:val="num" w:pos="1120"/>
        </w:tabs>
        <w:ind w:firstLine="720"/>
      </w:pPr>
      <w:r>
        <w:t xml:space="preserve">- </w:t>
      </w:r>
      <w:r w:rsidRPr="00DB059B">
        <w:t>Báo cáo Thủ tướng Chính phủ về giao kế hoạch đầu tư vố</w:t>
      </w:r>
      <w:r w:rsidR="00AF0FA7">
        <w:t>n ngân sách trung ương</w:t>
      </w:r>
      <w:r w:rsidRPr="00DB059B">
        <w:t xml:space="preserve"> năm 2019, phương án xử lý để giao hết kế hoạch đầu tư vốn </w:t>
      </w:r>
      <w:r w:rsidR="00AF0FA7">
        <w:t>ngân sách trung ương</w:t>
      </w:r>
      <w:r w:rsidRPr="00DB059B">
        <w:t xml:space="preserve"> năm 2019 còn lạ</w:t>
      </w:r>
      <w:r w:rsidR="00AF0FA7">
        <w:t>i</w:t>
      </w:r>
      <w:r w:rsidRPr="00DB059B">
        <w:t xml:space="preserve"> </w:t>
      </w:r>
      <w:r w:rsidR="000827CE">
        <w:t>trước ngày 05 tháng 10</w:t>
      </w:r>
      <w:r w:rsidRPr="00DB059B">
        <w:t xml:space="preserve"> năm 2019. </w:t>
      </w:r>
    </w:p>
    <w:p w:rsidR="00644FF0" w:rsidRDefault="00644FF0" w:rsidP="00644FF0">
      <w:pPr>
        <w:tabs>
          <w:tab w:val="num" w:pos="1120"/>
        </w:tabs>
        <w:ind w:firstLine="720"/>
      </w:pPr>
      <w:r w:rsidRPr="00DB059B">
        <w:t xml:space="preserve">- Báo cáo Thủ tướng Chính phủ trước ngày 10 tháng 10 năm 2019 việc điều chỉnh kế hoạch đầu tư vốn năm 2019 từ các dự án giải ngân chậm sang dự án có khả năng giải ngân cao hơn, có nhu cầu bổ sung vốn để đẩy nhanh tiến độ thực hiện; từ các bộ, </w:t>
      </w:r>
      <w:r w:rsidR="00B30021">
        <w:t>cơ quan trung ương</w:t>
      </w:r>
      <w:r w:rsidRPr="00DB059B">
        <w:t xml:space="preserve"> và địa phương giải ngân thấp sang bộ</w:t>
      </w:r>
      <w:r w:rsidR="00275FA4">
        <w:t>, cơ quan trung ương</w:t>
      </w:r>
      <w:r w:rsidRPr="00DB059B">
        <w:t xml:space="preserve"> và địa phương giải ngân cao, có nhu cầu bổ sung vốn.</w:t>
      </w:r>
    </w:p>
    <w:p w:rsidR="000827CE" w:rsidRDefault="000827CE" w:rsidP="00644FF0">
      <w:pPr>
        <w:tabs>
          <w:tab w:val="num" w:pos="1120"/>
        </w:tabs>
        <w:ind w:firstLine="720"/>
      </w:pPr>
      <w:r>
        <w:t xml:space="preserve">- </w:t>
      </w:r>
      <w:r w:rsidR="00AF0FA7">
        <w:t>Phối hợp kịp thời với Bộ Tài chính có ý kiến về việc đ</w:t>
      </w:r>
      <w:r>
        <w:t>iều chỉnh kế hoạch đầu tư vốn</w:t>
      </w:r>
      <w:r w:rsidR="00AF0FA7">
        <w:t xml:space="preserve"> ngân sách trung ương năm 2019 giữa các dự án trong nội bộ ngành, lĩnh vực, chương trình theo đề xuất của bộ</w:t>
      </w:r>
      <w:r w:rsidR="00275FA4">
        <w:t>, cơ quan trung ương</w:t>
      </w:r>
      <w:r w:rsidR="00AF0FA7">
        <w:t xml:space="preserve"> và địa phương trong </w:t>
      </w:r>
      <w:r w:rsidR="00AF0FA7">
        <w:lastRenderedPageBreak/>
        <w:t xml:space="preserve">vòng 07 ngày làm việc kể từ ngày nhận được văn bản đề xuất của bộ, </w:t>
      </w:r>
      <w:r w:rsidR="00B30021">
        <w:t>cơ quan trung ương</w:t>
      </w:r>
      <w:r w:rsidR="00AF0FA7">
        <w:t xml:space="preserve"> và địa phương.  </w:t>
      </w:r>
    </w:p>
    <w:p w:rsidR="00375149" w:rsidRDefault="00644FF0" w:rsidP="00644FF0">
      <w:pPr>
        <w:tabs>
          <w:tab w:val="num" w:pos="1120"/>
        </w:tabs>
        <w:ind w:firstLine="720"/>
      </w:pPr>
      <w:r>
        <w:t>b) Bộ T</w:t>
      </w:r>
      <w:r w:rsidR="00375149">
        <w:t>ài chính:</w:t>
      </w:r>
    </w:p>
    <w:p w:rsidR="00644FF0" w:rsidRPr="00F650E9" w:rsidRDefault="00375149" w:rsidP="00644FF0">
      <w:pPr>
        <w:tabs>
          <w:tab w:val="num" w:pos="1120"/>
        </w:tabs>
        <w:ind w:firstLine="720"/>
      </w:pPr>
      <w:r w:rsidRPr="00F650E9">
        <w:t>- P</w:t>
      </w:r>
      <w:r w:rsidR="00644FF0" w:rsidRPr="00F650E9">
        <w:rPr>
          <w:lang w:val="vi-VN"/>
        </w:rPr>
        <w:t>hối hợp kịp thời với Bộ Kế hoạch và Đầu tư trong việc rà soát, tổng hợp giao, điều chuyển kế hoạch đ</w:t>
      </w:r>
      <w:r w:rsidR="00644FF0" w:rsidRPr="00F650E9">
        <w:t>ầ</w:t>
      </w:r>
      <w:r w:rsidR="00644FF0" w:rsidRPr="00F650E9">
        <w:rPr>
          <w:lang w:val="vi-VN"/>
        </w:rPr>
        <w:t>u tư vốn ngân sách nhà nước năm 2019; bảo đảm đúng thời gian theo Quy chế làm việc của Chính phủ.</w:t>
      </w:r>
    </w:p>
    <w:p w:rsidR="00375149" w:rsidRPr="00375149" w:rsidRDefault="00375149" w:rsidP="00644FF0">
      <w:pPr>
        <w:tabs>
          <w:tab w:val="num" w:pos="1120"/>
        </w:tabs>
        <w:ind w:firstLine="720"/>
      </w:pPr>
      <w:r w:rsidRPr="00F650E9">
        <w:t>- Chủ trì, phối hợp với các bộ, ngành và địa phương liên quan làm việc với nhà tài trợ đẩy nhanh tiến độ ký Hiệp định các dự án tại Phụ lục 1c kèm theo Nghị quyết số 71/2018/QH14 ngày 12 tháng 11 năm 2018 của Quốc hội về điều chỉnh kế hoạch đầu tư công trung hạn giai đoạn 2016-2020.</w:t>
      </w:r>
    </w:p>
    <w:p w:rsidR="000977E6" w:rsidRPr="000977E6" w:rsidRDefault="00644FF0" w:rsidP="008A36BD">
      <w:pPr>
        <w:spacing w:after="0" w:line="271" w:lineRule="auto"/>
        <w:ind w:firstLine="720"/>
        <w:rPr>
          <w:spacing w:val="0"/>
        </w:rPr>
      </w:pPr>
      <w:r>
        <w:rPr>
          <w:spacing w:val="0"/>
        </w:rPr>
        <w:t>c</w:t>
      </w:r>
      <w:r w:rsidR="000977E6" w:rsidRPr="000977E6">
        <w:rPr>
          <w:spacing w:val="0"/>
        </w:rPr>
        <w:t xml:space="preserve">) Các </w:t>
      </w:r>
      <w:r w:rsidR="00484A33">
        <w:rPr>
          <w:spacing w:val="0"/>
        </w:rPr>
        <w:t>bộ</w:t>
      </w:r>
      <w:r w:rsidR="00B30021">
        <w:rPr>
          <w:spacing w:val="0"/>
        </w:rPr>
        <w:t>, cơ quan trung ương v</w:t>
      </w:r>
      <w:r w:rsidR="00484A33">
        <w:rPr>
          <w:spacing w:val="0"/>
        </w:rPr>
        <w:t>à địa phương</w:t>
      </w:r>
      <w:r w:rsidR="000977E6" w:rsidRPr="000977E6">
        <w:rPr>
          <w:spacing w:val="0"/>
        </w:rPr>
        <w:t xml:space="preserve">: </w:t>
      </w:r>
    </w:p>
    <w:p w:rsidR="00A75D04" w:rsidRDefault="000977E6" w:rsidP="008A36BD">
      <w:pPr>
        <w:spacing w:after="0" w:line="271" w:lineRule="auto"/>
        <w:ind w:firstLine="720"/>
        <w:rPr>
          <w:spacing w:val="0"/>
        </w:rPr>
      </w:pPr>
      <w:r w:rsidRPr="001F2A30">
        <w:rPr>
          <w:spacing w:val="0"/>
        </w:rPr>
        <w:t>- Tập trung hoàn thành việc thông báo và giao chi tiết kế hoạch đầu tư công năm 201</w:t>
      </w:r>
      <w:r w:rsidR="00644FF0">
        <w:rPr>
          <w:spacing w:val="0"/>
        </w:rPr>
        <w:t>9</w:t>
      </w:r>
      <w:r w:rsidRPr="001F2A30">
        <w:rPr>
          <w:spacing w:val="0"/>
        </w:rPr>
        <w:t xml:space="preserve"> đã được cấp thẩm quyền </w:t>
      </w:r>
      <w:r w:rsidR="0087574E">
        <w:rPr>
          <w:spacing w:val="0"/>
        </w:rPr>
        <w:t xml:space="preserve">quyết định </w:t>
      </w:r>
      <w:r w:rsidRPr="001F2A30">
        <w:rPr>
          <w:spacing w:val="0"/>
        </w:rPr>
        <w:t xml:space="preserve">cho các chủ đầu tư </w:t>
      </w:r>
      <w:r w:rsidR="006C64A3" w:rsidRPr="001F2A30">
        <w:rPr>
          <w:spacing w:val="0"/>
        </w:rPr>
        <w:t>theo đúng quy định tại các Quyết định giao kế hoạch đầu tư năm 201</w:t>
      </w:r>
      <w:r w:rsidR="00644FF0">
        <w:rPr>
          <w:spacing w:val="0"/>
        </w:rPr>
        <w:t>9</w:t>
      </w:r>
      <w:r w:rsidR="006C64A3" w:rsidRPr="001F2A30">
        <w:rPr>
          <w:spacing w:val="0"/>
        </w:rPr>
        <w:t xml:space="preserve"> của Thủ tướng Chính phủ</w:t>
      </w:r>
      <w:r w:rsidR="006669A9" w:rsidRPr="001F2A30">
        <w:rPr>
          <w:spacing w:val="0"/>
        </w:rPr>
        <w:t xml:space="preserve">, gửi báo cáo triển khai cho Bộ Kế hoạch và Đầu tư, Bộ Tài chính để tổng hợp, báo cáo Chính phủ, Thủ tướng Chính phủ có biện pháp xử lý đối với những trường hợp chậm </w:t>
      </w:r>
      <w:r w:rsidR="00C278DF">
        <w:rPr>
          <w:spacing w:val="0"/>
        </w:rPr>
        <w:t>tr</w:t>
      </w:r>
      <w:r w:rsidR="006669A9" w:rsidRPr="001F2A30">
        <w:rPr>
          <w:spacing w:val="0"/>
        </w:rPr>
        <w:t xml:space="preserve">ễ thông báo và giao chi tiết kế hoạch </w:t>
      </w:r>
      <w:r w:rsidR="00E025AB" w:rsidRPr="001F2A30">
        <w:rPr>
          <w:spacing w:val="0"/>
        </w:rPr>
        <w:t xml:space="preserve">vốn </w:t>
      </w:r>
      <w:r w:rsidR="006669A9" w:rsidRPr="001F2A30">
        <w:rPr>
          <w:spacing w:val="0"/>
        </w:rPr>
        <w:t>đầ</w:t>
      </w:r>
      <w:r w:rsidR="00644FF0">
        <w:rPr>
          <w:spacing w:val="0"/>
        </w:rPr>
        <w:t>u tư công năm 2019</w:t>
      </w:r>
      <w:r w:rsidR="00C229C9">
        <w:rPr>
          <w:spacing w:val="0"/>
        </w:rPr>
        <w:t>.</w:t>
      </w:r>
    </w:p>
    <w:p w:rsidR="00553859" w:rsidRDefault="000977E6" w:rsidP="008A36BD">
      <w:pPr>
        <w:spacing w:after="0" w:line="271" w:lineRule="auto"/>
        <w:ind w:firstLine="720"/>
        <w:rPr>
          <w:spacing w:val="0"/>
        </w:rPr>
      </w:pPr>
      <w:r w:rsidRPr="00DB0842">
        <w:rPr>
          <w:spacing w:val="0"/>
        </w:rPr>
        <w:t>- Được phép bố trí kế hoạch</w:t>
      </w:r>
      <w:r w:rsidR="00644FF0">
        <w:rPr>
          <w:spacing w:val="0"/>
        </w:rPr>
        <w:t xml:space="preserve"> đầu tư vốn ngân sách nhà nước</w:t>
      </w:r>
      <w:r w:rsidRPr="00DB0842">
        <w:rPr>
          <w:spacing w:val="0"/>
        </w:rPr>
        <w:t xml:space="preserve"> năm 201</w:t>
      </w:r>
      <w:r w:rsidR="00644FF0">
        <w:rPr>
          <w:spacing w:val="0"/>
        </w:rPr>
        <w:t>9</w:t>
      </w:r>
      <w:r w:rsidRPr="00DB0842">
        <w:rPr>
          <w:spacing w:val="0"/>
        </w:rPr>
        <w:t xml:space="preserve"> cho các dự án </w:t>
      </w:r>
      <w:r w:rsidR="00644FF0">
        <w:rPr>
          <w:spacing w:val="0"/>
        </w:rPr>
        <w:t>chuẩn bị đầu tư có quyết định cho phép chuẩn bị đầu tư và dự toán chuẩn bị đầu tư của cấp có thẩm quyền quyết định sau ngày 31 tháng 10 năm 2018.</w:t>
      </w:r>
    </w:p>
    <w:p w:rsidR="00644FF0" w:rsidRDefault="00644FF0" w:rsidP="008A36BD">
      <w:pPr>
        <w:spacing w:after="0" w:line="271" w:lineRule="auto"/>
        <w:ind w:firstLine="720"/>
        <w:rPr>
          <w:spacing w:val="0"/>
        </w:rPr>
      </w:pPr>
      <w:r>
        <w:rPr>
          <w:spacing w:val="0"/>
        </w:rPr>
        <w:t>- Được phép điều chỉnh kế hoạch đầu tư vốn ngân sách nhà nước năm 2019 của những dự án giải ngân chậm, không có khả năng thực hiện sang dự án khởi công mới đã có đủ thủ tục đầu tư báo gồm những dự án có Quyết định đầu tư sau ngày 31 tháng 10 năm 2018 có khả năng giải ngân, đảm bảo giải ngân hết số vốn năm 2019.</w:t>
      </w:r>
    </w:p>
    <w:p w:rsidR="009819DD" w:rsidRDefault="009819DD" w:rsidP="008A36BD">
      <w:pPr>
        <w:spacing w:after="0" w:line="271" w:lineRule="auto"/>
        <w:ind w:firstLine="720"/>
        <w:rPr>
          <w:spacing w:val="0"/>
        </w:rPr>
      </w:pPr>
      <w:r>
        <w:rPr>
          <w:spacing w:val="0"/>
        </w:rPr>
        <w:t xml:space="preserve">- Được phép điều chỉnh kế hoạch đầu tư vốn nước ngoài năm 2019 đối với chương trình, dự án sử dụng vốn ODA và vốn vay ưu đãi của các nhà tài trợ nước ngoài trong nội bộ, đảm bảo không vượt tổng mức kế hoạch vốn nước ngoài nguồn ngân sách trung ương cấp phát năm 2019 đã giao cho bộ, </w:t>
      </w:r>
      <w:r w:rsidR="00B30021">
        <w:rPr>
          <w:spacing w:val="0"/>
        </w:rPr>
        <w:t>cơ quan trung ương</w:t>
      </w:r>
      <w:r>
        <w:rPr>
          <w:spacing w:val="0"/>
        </w:rPr>
        <w:t xml:space="preserve"> và địa phương, trừ trường hợp điều chỉnh kế hoạch vốn nước ngoài  năm 2019 của dự án có cơ chế giải ngân theo phương thức dự án (ghi thu – ghi chi) sang dự án có cơ chế giải ngân theo cơ chế tài chính trong nước. Trước ngày ngày 31 tháng 3 năm 2019, tổng hợp kết quả điều chỉnh kế hoạch đầu tư vốn nước ngoài năm 2019 quy định tại điểm này, gửi Bộ Kế hoạch và Đầu tư để tổng hợp báo cáo Thủ tướng Chính phủ. </w:t>
      </w:r>
    </w:p>
    <w:p w:rsidR="00204DFA" w:rsidRDefault="006C64A3" w:rsidP="008A36BD">
      <w:pPr>
        <w:spacing w:after="0" w:line="271" w:lineRule="auto"/>
        <w:ind w:firstLine="720"/>
        <w:rPr>
          <w:spacing w:val="0"/>
        </w:rPr>
      </w:pPr>
      <w:r w:rsidRPr="000E1439">
        <w:rPr>
          <w:spacing w:val="0"/>
        </w:rPr>
        <w:lastRenderedPageBreak/>
        <w:t>c</w:t>
      </w:r>
      <w:r w:rsidR="004C7585" w:rsidRPr="000E1439">
        <w:rPr>
          <w:spacing w:val="0"/>
        </w:rPr>
        <w:t>)</w:t>
      </w:r>
      <w:r w:rsidR="00E07E2C" w:rsidRPr="000E1439">
        <w:rPr>
          <w:spacing w:val="0"/>
        </w:rPr>
        <w:t xml:space="preserve"> </w:t>
      </w:r>
      <w:r w:rsidR="00DC79D9">
        <w:rPr>
          <w:spacing w:val="0"/>
        </w:rPr>
        <w:t>K</w:t>
      </w:r>
      <w:r w:rsidR="00E07E2C" w:rsidRPr="000E1439">
        <w:rPr>
          <w:spacing w:val="0"/>
        </w:rPr>
        <w:t xml:space="preserve">hông áp dụng quy định tiết kiệm 10% </w:t>
      </w:r>
      <w:r w:rsidR="00F135D9" w:rsidRPr="000E1439">
        <w:rPr>
          <w:spacing w:val="0"/>
        </w:rPr>
        <w:t xml:space="preserve">tổng mức đầu tư dự án </w:t>
      </w:r>
      <w:r w:rsidR="00E07E2C" w:rsidRPr="000E1439">
        <w:rPr>
          <w:spacing w:val="0"/>
        </w:rPr>
        <w:t>đã được nêu tại Nghị quyết số 89/NQ-CP ngày</w:t>
      </w:r>
      <w:r w:rsidR="00022A20" w:rsidRPr="000E1439">
        <w:rPr>
          <w:spacing w:val="0"/>
        </w:rPr>
        <w:t xml:space="preserve"> 10 </w:t>
      </w:r>
      <w:r w:rsidR="00E07E2C" w:rsidRPr="000E1439">
        <w:rPr>
          <w:spacing w:val="0"/>
        </w:rPr>
        <w:t>tháng</w:t>
      </w:r>
      <w:r w:rsidR="00022A20" w:rsidRPr="000E1439">
        <w:rPr>
          <w:spacing w:val="0"/>
        </w:rPr>
        <w:t xml:space="preserve"> 10 </w:t>
      </w:r>
      <w:r w:rsidR="00E07E2C" w:rsidRPr="000E1439">
        <w:rPr>
          <w:spacing w:val="0"/>
        </w:rPr>
        <w:t>năm 2016</w:t>
      </w:r>
      <w:r w:rsidR="002B6FDE" w:rsidRPr="000E1439">
        <w:rPr>
          <w:spacing w:val="0"/>
        </w:rPr>
        <w:t xml:space="preserve"> của Chính phủ</w:t>
      </w:r>
      <w:r w:rsidR="00E07E2C" w:rsidRPr="000E1439">
        <w:rPr>
          <w:spacing w:val="0"/>
        </w:rPr>
        <w:t xml:space="preserve"> đối với</w:t>
      </w:r>
      <w:r w:rsidR="00022A20" w:rsidRPr="000E1439">
        <w:rPr>
          <w:spacing w:val="0"/>
        </w:rPr>
        <w:t xml:space="preserve"> các dự án </w:t>
      </w:r>
      <w:r w:rsidR="009819DD">
        <w:rPr>
          <w:spacing w:val="0"/>
        </w:rPr>
        <w:t>sử dụng vốn trái phiếu  Chính phủ trong kế hoạch đầu tư công trung hạn giai đoạn 2016-2020.</w:t>
      </w:r>
    </w:p>
    <w:p w:rsidR="00642D99" w:rsidRPr="00642D99" w:rsidRDefault="00642D99" w:rsidP="008A36BD">
      <w:pPr>
        <w:spacing w:after="0" w:line="271" w:lineRule="auto"/>
        <w:ind w:firstLine="720"/>
        <w:rPr>
          <w:spacing w:val="0"/>
        </w:rPr>
      </w:pPr>
      <w:r w:rsidRPr="00642D99">
        <w:rPr>
          <w:spacing w:val="0"/>
        </w:rPr>
        <w:t>3. Tập trung đẩy nhanh tiến độ th</w:t>
      </w:r>
      <w:r w:rsidR="006C0F81">
        <w:rPr>
          <w:spacing w:val="0"/>
        </w:rPr>
        <w:t>ự</w:t>
      </w:r>
      <w:r w:rsidRPr="00642D99">
        <w:rPr>
          <w:spacing w:val="0"/>
        </w:rPr>
        <w:t>c hiện và giải ngân vốn, nâng cao hiệu quả sử dụng vốn đầ</w:t>
      </w:r>
      <w:r w:rsidR="00C02BC3">
        <w:rPr>
          <w:spacing w:val="0"/>
        </w:rPr>
        <w:t>u tư công năm 2019</w:t>
      </w:r>
      <w:r w:rsidRPr="00642D99">
        <w:rPr>
          <w:spacing w:val="0"/>
        </w:rPr>
        <w:t>:</w:t>
      </w:r>
    </w:p>
    <w:p w:rsidR="00642D99" w:rsidRPr="00642D99" w:rsidRDefault="00642D99" w:rsidP="008A36BD">
      <w:pPr>
        <w:spacing w:after="0" w:line="271" w:lineRule="auto"/>
        <w:ind w:firstLine="720"/>
        <w:rPr>
          <w:spacing w:val="0"/>
        </w:rPr>
      </w:pPr>
      <w:r w:rsidRPr="00642D99">
        <w:rPr>
          <w:spacing w:val="0"/>
        </w:rPr>
        <w:t xml:space="preserve">a) Các </w:t>
      </w:r>
      <w:r w:rsidR="00484A33">
        <w:rPr>
          <w:spacing w:val="0"/>
        </w:rPr>
        <w:t xml:space="preserve">bộ, </w:t>
      </w:r>
      <w:r w:rsidR="00B30021">
        <w:rPr>
          <w:spacing w:val="0"/>
        </w:rPr>
        <w:t>cơ quan trung ương</w:t>
      </w:r>
      <w:r w:rsidR="00484A33">
        <w:rPr>
          <w:spacing w:val="0"/>
        </w:rPr>
        <w:t xml:space="preserve"> và địa phương</w:t>
      </w:r>
      <w:r w:rsidRPr="00642D99">
        <w:rPr>
          <w:spacing w:val="0"/>
        </w:rPr>
        <w:t>:</w:t>
      </w:r>
    </w:p>
    <w:p w:rsidR="009819DD" w:rsidRDefault="00596E2D" w:rsidP="009819DD">
      <w:pPr>
        <w:tabs>
          <w:tab w:val="num" w:pos="1120"/>
        </w:tabs>
        <w:ind w:firstLine="720"/>
      </w:pPr>
      <w:r>
        <w:rPr>
          <w:spacing w:val="0"/>
        </w:rPr>
        <w:t xml:space="preserve">- </w:t>
      </w:r>
      <w:r w:rsidR="009819DD" w:rsidRPr="006467E5">
        <w:rPr>
          <w:lang w:val="vi-VN"/>
        </w:rPr>
        <w:t xml:space="preserve">Lập danh mục dự án trọng điểm, phân công lãnh đạo </w:t>
      </w:r>
      <w:proofErr w:type="gramStart"/>
      <w:r w:rsidR="009819DD" w:rsidRPr="006467E5">
        <w:rPr>
          <w:lang w:val="vi-VN"/>
        </w:rPr>
        <w:t>theo</w:t>
      </w:r>
      <w:proofErr w:type="gramEnd"/>
      <w:r w:rsidR="009819DD" w:rsidRPr="006467E5">
        <w:rPr>
          <w:lang w:val="vi-VN"/>
        </w:rPr>
        <w:t xml:space="preserve"> dõi đôn dốc quyết liệt. </w:t>
      </w:r>
    </w:p>
    <w:p w:rsidR="009819DD" w:rsidRPr="005E68F1" w:rsidRDefault="009819DD" w:rsidP="009819DD">
      <w:pPr>
        <w:tabs>
          <w:tab w:val="num" w:pos="1120"/>
        </w:tabs>
        <w:ind w:firstLine="720"/>
        <w:rPr>
          <w:lang w:val="it-IT"/>
        </w:rPr>
      </w:pPr>
      <w:r>
        <w:t>-</w:t>
      </w:r>
      <w:r>
        <w:rPr>
          <w:lang w:val="it-IT"/>
        </w:rPr>
        <w:t xml:space="preserve"> </w:t>
      </w:r>
      <w:r w:rsidRPr="005E68F1">
        <w:rPr>
          <w:lang w:val="it-IT"/>
        </w:rPr>
        <w:t xml:space="preserve">Rà soát tình hình thực hiện từng dự án, từ đó phân nhóm các dự án gặp vướng mắc về thủ tục đầu tư xây dựng, nhóm các dự án vướng mắc về thủ tục đất đai, </w:t>
      </w:r>
      <w:r>
        <w:rPr>
          <w:lang w:val="it-IT"/>
        </w:rPr>
        <w:t>giải phóng mặt bằng</w:t>
      </w:r>
      <w:r w:rsidRPr="005E68F1">
        <w:rPr>
          <w:lang w:val="it-IT"/>
        </w:rPr>
        <w:t xml:space="preserve">, nhóm các dự án gặp vướng mắc về kế hoạch vốn và thủ tục giải ngân </w:t>
      </w:r>
      <w:r>
        <w:rPr>
          <w:lang w:val="it-IT"/>
        </w:rPr>
        <w:t xml:space="preserve">để kịp thời </w:t>
      </w:r>
      <w:r w:rsidRPr="005E68F1">
        <w:rPr>
          <w:lang w:val="it-IT"/>
        </w:rPr>
        <w:t>giải quyết và tháo gỡ.</w:t>
      </w:r>
    </w:p>
    <w:p w:rsidR="00642D99" w:rsidRPr="00642D99" w:rsidRDefault="00642D99" w:rsidP="008A36BD">
      <w:pPr>
        <w:spacing w:after="0" w:line="271" w:lineRule="auto"/>
        <w:ind w:firstLine="720"/>
        <w:rPr>
          <w:spacing w:val="0"/>
        </w:rPr>
      </w:pPr>
      <w:r w:rsidRPr="00642D99">
        <w:rPr>
          <w:spacing w:val="0"/>
        </w:rPr>
        <w:t xml:space="preserve">- Chỉ đạo chủ đầu tư: </w:t>
      </w:r>
    </w:p>
    <w:p w:rsidR="00642D99" w:rsidRPr="00642D99" w:rsidRDefault="00642D99" w:rsidP="008A36BD">
      <w:pPr>
        <w:spacing w:after="0" w:line="271" w:lineRule="auto"/>
        <w:ind w:firstLine="720"/>
        <w:rPr>
          <w:spacing w:val="0"/>
        </w:rPr>
      </w:pPr>
      <w:r w:rsidRPr="00642D99">
        <w:rPr>
          <w:spacing w:val="0"/>
        </w:rPr>
        <w:t xml:space="preserve">+ Khẩn trương triển khai thực hiện dự </w:t>
      </w:r>
      <w:proofErr w:type="gramStart"/>
      <w:r w:rsidRPr="00642D99">
        <w:rPr>
          <w:spacing w:val="0"/>
        </w:rPr>
        <w:t>án</w:t>
      </w:r>
      <w:proofErr w:type="gramEnd"/>
      <w:r w:rsidRPr="00642D99">
        <w:rPr>
          <w:spacing w:val="0"/>
        </w:rPr>
        <w:t xml:space="preserve"> sau khi nhận được thông báo chi tiết kế hoạch vốn năm 201</w:t>
      </w:r>
      <w:r w:rsidR="009819DD">
        <w:rPr>
          <w:spacing w:val="0"/>
        </w:rPr>
        <w:t>9</w:t>
      </w:r>
      <w:r w:rsidRPr="00642D99">
        <w:rPr>
          <w:spacing w:val="0"/>
        </w:rPr>
        <w:t xml:space="preserve">;  </w:t>
      </w:r>
    </w:p>
    <w:p w:rsidR="00457983" w:rsidRPr="00632869" w:rsidRDefault="00642D99" w:rsidP="008A36BD">
      <w:pPr>
        <w:spacing w:after="0" w:line="271" w:lineRule="auto"/>
        <w:ind w:firstLine="720"/>
        <w:rPr>
          <w:spacing w:val="0"/>
        </w:rPr>
      </w:pPr>
      <w:r w:rsidRPr="00642D99">
        <w:rPr>
          <w:spacing w:val="0"/>
        </w:rPr>
        <w:t>+ Chủ động có giải pháp cụ thể tháo gỡ khó khăn, vướng mắc trong việc đền bù, giải phóng mặt bằng, đấu thầ</w:t>
      </w:r>
      <w:r w:rsidR="00423428">
        <w:rPr>
          <w:spacing w:val="0"/>
        </w:rPr>
        <w:t>u...</w:t>
      </w:r>
      <w:r w:rsidRPr="00642D99">
        <w:rPr>
          <w:spacing w:val="0"/>
        </w:rPr>
        <w:t xml:space="preserve">, </w:t>
      </w:r>
      <w:r w:rsidRPr="00917E0F">
        <w:rPr>
          <w:spacing w:val="0"/>
        </w:rPr>
        <w:t>đẩy nhanh tiến độ thi công công trình,</w:t>
      </w:r>
      <w:r w:rsidRPr="00642D99">
        <w:rPr>
          <w:spacing w:val="0"/>
        </w:rPr>
        <w:t xml:space="preserve"> dự</w:t>
      </w:r>
      <w:r w:rsidR="00457983">
        <w:rPr>
          <w:spacing w:val="0"/>
        </w:rPr>
        <w:t xml:space="preserve"> án.</w:t>
      </w:r>
      <w:r w:rsidR="00457983" w:rsidRPr="00632869">
        <w:rPr>
          <w:spacing w:val="0"/>
        </w:rPr>
        <w:t xml:space="preserve"> </w:t>
      </w:r>
      <w:proofErr w:type="gramStart"/>
      <w:r w:rsidR="00457983" w:rsidRPr="00632869">
        <w:rPr>
          <w:spacing w:val="0"/>
        </w:rPr>
        <w:t>Lựa chọn nhà thầu có đầy đủ năng lực (kỹ thuật và tài chính)</w:t>
      </w:r>
      <w:r w:rsidR="00890A3A">
        <w:rPr>
          <w:spacing w:val="0"/>
        </w:rPr>
        <w:t>,</w:t>
      </w:r>
      <w:r w:rsidR="00457983" w:rsidRPr="00632869">
        <w:rPr>
          <w:spacing w:val="0"/>
        </w:rPr>
        <w:t xml:space="preserve"> kinh nghiệm để triển khai đúng tiến độ, bảo đảm chất lượng công trình, hàng hóa, dịch vụ.</w:t>
      </w:r>
      <w:proofErr w:type="gramEnd"/>
      <w:r w:rsidR="00457983">
        <w:rPr>
          <w:spacing w:val="0"/>
        </w:rPr>
        <w:t xml:space="preserve"> </w:t>
      </w:r>
      <w:r w:rsidR="00457983" w:rsidRPr="00632869">
        <w:rPr>
          <w:spacing w:val="0"/>
        </w:rPr>
        <w:t xml:space="preserve">Tăng cường đấu thầu qua mạng </w:t>
      </w:r>
      <w:proofErr w:type="gramStart"/>
      <w:r w:rsidR="00457983" w:rsidRPr="00632869">
        <w:rPr>
          <w:spacing w:val="0"/>
        </w:rPr>
        <w:t>theo</w:t>
      </w:r>
      <w:proofErr w:type="gramEnd"/>
      <w:r w:rsidR="00457983" w:rsidRPr="00632869">
        <w:rPr>
          <w:spacing w:val="0"/>
        </w:rPr>
        <w:t xml:space="preserve"> hướng dẫn của Bộ Kế hoạch và Đầu tư</w:t>
      </w:r>
      <w:r w:rsidR="00890A3A">
        <w:rPr>
          <w:spacing w:val="0"/>
        </w:rPr>
        <w:t>;</w:t>
      </w:r>
    </w:p>
    <w:p w:rsidR="008949B2" w:rsidRDefault="00642D99" w:rsidP="008A36BD">
      <w:pPr>
        <w:spacing w:after="0" w:line="271" w:lineRule="auto"/>
        <w:ind w:firstLine="720"/>
        <w:rPr>
          <w:spacing w:val="0"/>
        </w:rPr>
      </w:pPr>
      <w:r w:rsidRPr="00642D99">
        <w:rPr>
          <w:spacing w:val="0"/>
        </w:rPr>
        <w:t xml:space="preserve">+ Khẩn trương hoàn thiện hồ sơ, trong </w:t>
      </w:r>
      <w:r w:rsidR="006C0F81">
        <w:rPr>
          <w:spacing w:val="0"/>
        </w:rPr>
        <w:t>thời hạn</w:t>
      </w:r>
      <w:r w:rsidRPr="00642D99">
        <w:rPr>
          <w:spacing w:val="0"/>
        </w:rPr>
        <w:t xml:space="preserve"> </w:t>
      </w:r>
      <w:r w:rsidR="000E2441">
        <w:rPr>
          <w:spacing w:val="0"/>
        </w:rPr>
        <w:t>0</w:t>
      </w:r>
      <w:r w:rsidRPr="00642D99">
        <w:rPr>
          <w:spacing w:val="0"/>
        </w:rPr>
        <w:t xml:space="preserve">4 ngày kể từ </w:t>
      </w:r>
      <w:r w:rsidR="006C0F81">
        <w:rPr>
          <w:spacing w:val="0"/>
        </w:rPr>
        <w:t>ngày</w:t>
      </w:r>
      <w:r w:rsidRPr="00642D99">
        <w:rPr>
          <w:spacing w:val="0"/>
        </w:rPr>
        <w:t xml:space="preserve"> có khối lượng </w:t>
      </w:r>
      <w:r w:rsidR="006C0F81">
        <w:rPr>
          <w:spacing w:val="0"/>
        </w:rPr>
        <w:t xml:space="preserve">được </w:t>
      </w:r>
      <w:r w:rsidRPr="00642D99">
        <w:rPr>
          <w:spacing w:val="0"/>
        </w:rPr>
        <w:t xml:space="preserve">nghiệm </w:t>
      </w:r>
      <w:proofErr w:type="gramStart"/>
      <w:r w:rsidRPr="00642D99">
        <w:rPr>
          <w:spacing w:val="0"/>
        </w:rPr>
        <w:t>thu</w:t>
      </w:r>
      <w:proofErr w:type="gramEnd"/>
      <w:r w:rsidR="006C0F81">
        <w:rPr>
          <w:spacing w:val="0"/>
        </w:rPr>
        <w:t>,</w:t>
      </w:r>
      <w:r w:rsidRPr="00642D99">
        <w:rPr>
          <w:spacing w:val="0"/>
        </w:rPr>
        <w:t xml:space="preserve"> làm thủ tục thanh toán ngay với Kho bạc Nhà nước, không </w:t>
      </w:r>
      <w:r w:rsidR="00F245A7">
        <w:rPr>
          <w:spacing w:val="0"/>
        </w:rPr>
        <w:t>dồn vốn vào cuối năm mới thanh toán</w:t>
      </w:r>
      <w:r w:rsidR="006C0F81">
        <w:rPr>
          <w:spacing w:val="0"/>
        </w:rPr>
        <w:t>.</w:t>
      </w:r>
      <w:r w:rsidRPr="00642D99">
        <w:rPr>
          <w:spacing w:val="0"/>
        </w:rPr>
        <w:t xml:space="preserve"> </w:t>
      </w:r>
      <w:r w:rsidR="006C0F81">
        <w:rPr>
          <w:spacing w:val="0"/>
        </w:rPr>
        <w:t>Đ</w:t>
      </w:r>
      <w:r w:rsidRPr="00642D99">
        <w:rPr>
          <w:spacing w:val="0"/>
        </w:rPr>
        <w:t>ối với các dự án đã hoàn thành đưa vào sử dụng, phải khẩn trương phê duyệt quyết toán, giải ngân hết số vốn cho các nhà thầu</w:t>
      </w:r>
      <w:r w:rsidR="008949B2">
        <w:rPr>
          <w:spacing w:val="0"/>
        </w:rPr>
        <w:t xml:space="preserve"> </w:t>
      </w:r>
      <w:proofErr w:type="gramStart"/>
      <w:r w:rsidR="008949B2">
        <w:rPr>
          <w:spacing w:val="0"/>
        </w:rPr>
        <w:t>theo</w:t>
      </w:r>
      <w:proofErr w:type="gramEnd"/>
      <w:r w:rsidR="008949B2">
        <w:rPr>
          <w:spacing w:val="0"/>
        </w:rPr>
        <w:t xml:space="preserve"> nội dung hợp đồng. </w:t>
      </w:r>
    </w:p>
    <w:p w:rsidR="009819DD" w:rsidRDefault="009819DD" w:rsidP="00AF0FA7">
      <w:pPr>
        <w:spacing w:line="288" w:lineRule="auto"/>
        <w:ind w:firstLine="720"/>
        <w:rPr>
          <w:spacing w:val="0"/>
        </w:rPr>
      </w:pPr>
      <w:r>
        <w:rPr>
          <w:spacing w:val="0"/>
        </w:rPr>
        <w:t xml:space="preserve">+ </w:t>
      </w:r>
      <w:r w:rsidR="000827CE">
        <w:rPr>
          <w:spacing w:val="0"/>
        </w:rPr>
        <w:t xml:space="preserve">Trong tháng 10 năm 2019, </w:t>
      </w:r>
      <w:r w:rsidR="00AF0FA7">
        <w:rPr>
          <w:lang w:val="pt-BR"/>
        </w:rPr>
        <w:t xml:space="preserve">hoàn thành việc thanh toán các thủ tục </w:t>
      </w:r>
      <w:proofErr w:type="gramStart"/>
      <w:r w:rsidR="00AF0FA7">
        <w:rPr>
          <w:lang w:val="pt-BR"/>
        </w:rPr>
        <w:t>thu</w:t>
      </w:r>
      <w:proofErr w:type="gramEnd"/>
      <w:r w:rsidR="00AF0FA7">
        <w:rPr>
          <w:lang w:val="pt-BR"/>
        </w:rPr>
        <w:t xml:space="preserve"> hồi vốn ứng trước, các dự án phải thanh toán nợ đọng xây dựng cơ bản trong năm 2019.</w:t>
      </w:r>
    </w:p>
    <w:p w:rsidR="00642D99" w:rsidRPr="00642D99" w:rsidRDefault="00642D99" w:rsidP="008A36BD">
      <w:pPr>
        <w:spacing w:after="0" w:line="271" w:lineRule="auto"/>
        <w:ind w:firstLine="720"/>
        <w:rPr>
          <w:spacing w:val="0"/>
        </w:rPr>
      </w:pPr>
      <w:r w:rsidRPr="00642D99">
        <w:rPr>
          <w:spacing w:val="0"/>
        </w:rPr>
        <w:t>- Chủ động rà soát, đề xuất cấp có thẩm quyền điều chuyển kế hoạch vốn năm 201</w:t>
      </w:r>
      <w:r w:rsidR="000827CE">
        <w:rPr>
          <w:spacing w:val="0"/>
        </w:rPr>
        <w:t>9</w:t>
      </w:r>
      <w:r w:rsidRPr="00642D99">
        <w:rPr>
          <w:spacing w:val="0"/>
        </w:rPr>
        <w:t xml:space="preserve"> của các dự </w:t>
      </w:r>
      <w:proofErr w:type="gramStart"/>
      <w:r w:rsidRPr="00642D99">
        <w:rPr>
          <w:spacing w:val="0"/>
        </w:rPr>
        <w:t>án</w:t>
      </w:r>
      <w:proofErr w:type="gramEnd"/>
      <w:r w:rsidRPr="00642D99">
        <w:rPr>
          <w:spacing w:val="0"/>
        </w:rPr>
        <w:t xml:space="preserve"> chậm tiến độ thực hiện và giải ngân sang các dự án khác</w:t>
      </w:r>
      <w:r w:rsidR="00B6476F">
        <w:rPr>
          <w:spacing w:val="0"/>
        </w:rPr>
        <w:t xml:space="preserve"> có nhu cầu, có tiến độ giải ngân tốt, cần đẩy nhanh tiến độ thực hiện, sớm hoàn thành đưa vào sử dụng</w:t>
      </w:r>
      <w:r w:rsidR="00164713">
        <w:rPr>
          <w:spacing w:val="0"/>
        </w:rPr>
        <w:t>.</w:t>
      </w:r>
    </w:p>
    <w:p w:rsidR="000827CE" w:rsidRDefault="00642D99" w:rsidP="000827CE">
      <w:pPr>
        <w:tabs>
          <w:tab w:val="num" w:pos="1120"/>
        </w:tabs>
        <w:ind w:firstLine="720"/>
      </w:pPr>
      <w:r w:rsidRPr="00642D99">
        <w:rPr>
          <w:spacing w:val="0"/>
        </w:rPr>
        <w:t xml:space="preserve">- </w:t>
      </w:r>
      <w:r w:rsidR="000827CE" w:rsidRPr="006467E5">
        <w:rPr>
          <w:lang w:val="pt-BR"/>
        </w:rPr>
        <w:t xml:space="preserve">Đối với vốn trái phiếu Chính phủ và vốn hỗ trợ phát triển chính thức (ODA), vốn vay ưu đãi của các nhà tài trợ nước ngoài, vốn viện trợ không hoàn lại, </w:t>
      </w:r>
      <w:r w:rsidR="000827CE" w:rsidRPr="006467E5">
        <w:rPr>
          <w:lang w:val="pt-BR"/>
        </w:rPr>
        <w:lastRenderedPageBreak/>
        <w:t>t</w:t>
      </w:r>
      <w:r w:rsidR="000827CE" w:rsidRPr="006467E5">
        <w:t xml:space="preserve">rường hợp có nhu cầu vốn để đẩy nhanh tiến độ thực hiện dự án đầu tư, có nhu cầu giải ngân vượt kế hoạch đầu tư vốn nước ngoài được giao hoặc phát sinh khoản vay mới chưa được dự toán, các bộ, </w:t>
      </w:r>
      <w:r w:rsidR="00B30021">
        <w:t>cơ quan trung ương</w:t>
      </w:r>
      <w:r w:rsidR="000827CE" w:rsidRPr="006467E5">
        <w:t xml:space="preserve"> và các địa phương báo cáo Bộ Kế hoạch và Đầu tư để tổng hợp, báo cáo Thủ tướng Chính phủ, Chính phủ, trình Ủy ban Thường vụ Quốc hội xem xét, quyết định. </w:t>
      </w:r>
    </w:p>
    <w:p w:rsidR="00642D99" w:rsidRPr="00642D99" w:rsidRDefault="00642D99" w:rsidP="008A36BD">
      <w:pPr>
        <w:spacing w:after="0" w:line="271" w:lineRule="auto"/>
        <w:ind w:firstLine="720"/>
        <w:rPr>
          <w:spacing w:val="0"/>
        </w:rPr>
      </w:pPr>
      <w:r w:rsidRPr="00642D99">
        <w:rPr>
          <w:spacing w:val="0"/>
        </w:rPr>
        <w:t>b) Bộ Kế hoạch và Đầu tư:</w:t>
      </w:r>
      <w:r w:rsidR="00AF0FA7">
        <w:rPr>
          <w:spacing w:val="0"/>
        </w:rPr>
        <w:t xml:space="preserve"> </w:t>
      </w:r>
      <w:r w:rsidR="006C0F81">
        <w:rPr>
          <w:spacing w:val="0"/>
        </w:rPr>
        <w:t xml:space="preserve">Phối hợp với Bộ Tài chính </w:t>
      </w:r>
      <w:r w:rsidR="0062202E">
        <w:rPr>
          <w:spacing w:val="0"/>
        </w:rPr>
        <w:t xml:space="preserve">hằng </w:t>
      </w:r>
      <w:r w:rsidR="002F40BC">
        <w:rPr>
          <w:spacing w:val="0"/>
        </w:rPr>
        <w:t xml:space="preserve">tháng </w:t>
      </w:r>
      <w:proofErr w:type="gramStart"/>
      <w:r w:rsidR="006C0F81">
        <w:rPr>
          <w:spacing w:val="0"/>
        </w:rPr>
        <w:t>t</w:t>
      </w:r>
      <w:r w:rsidRPr="00642D99">
        <w:rPr>
          <w:spacing w:val="0"/>
        </w:rPr>
        <w:t>heo</w:t>
      </w:r>
      <w:proofErr w:type="gramEnd"/>
      <w:r w:rsidRPr="00642D99">
        <w:rPr>
          <w:spacing w:val="0"/>
        </w:rPr>
        <w:t xml:space="preserve"> dõi tình hình, tiến độ giải ngân kế hoạch vốn đầu tư công của các </w:t>
      </w:r>
      <w:r w:rsidR="00484A33">
        <w:rPr>
          <w:spacing w:val="0"/>
        </w:rPr>
        <w:t xml:space="preserve">bộ, </w:t>
      </w:r>
      <w:r w:rsidR="00275FA4">
        <w:rPr>
          <w:spacing w:val="0"/>
        </w:rPr>
        <w:t>cơ quan trung ương</w:t>
      </w:r>
      <w:r w:rsidR="00484A33">
        <w:rPr>
          <w:spacing w:val="0"/>
        </w:rPr>
        <w:t xml:space="preserve"> và địa phương</w:t>
      </w:r>
      <w:r w:rsidRPr="00642D99">
        <w:rPr>
          <w:spacing w:val="0"/>
        </w:rPr>
        <w:t>.</w:t>
      </w:r>
      <w:r w:rsidR="002F40BC">
        <w:rPr>
          <w:spacing w:val="0"/>
        </w:rPr>
        <w:t xml:space="preserve"> </w:t>
      </w:r>
    </w:p>
    <w:p w:rsidR="00275FA4" w:rsidRDefault="00642D99" w:rsidP="008A36BD">
      <w:pPr>
        <w:spacing w:after="0" w:line="271" w:lineRule="auto"/>
        <w:ind w:firstLine="720"/>
        <w:rPr>
          <w:spacing w:val="0"/>
        </w:rPr>
      </w:pPr>
      <w:r w:rsidRPr="00642D99">
        <w:rPr>
          <w:spacing w:val="0"/>
        </w:rPr>
        <w:t xml:space="preserve">c) Bộ Tài chính: Chỉ đạo Kho bạc Nhà nước thanh toán cho các dự án khi có đủ điều kiện giải ngân trong thời </w:t>
      </w:r>
      <w:r w:rsidR="00A63984">
        <w:rPr>
          <w:spacing w:val="0"/>
        </w:rPr>
        <w:t>hạn</w:t>
      </w:r>
      <w:r w:rsidRPr="00642D99">
        <w:rPr>
          <w:spacing w:val="0"/>
        </w:rPr>
        <w:t xml:space="preserve"> 04 ngày làm việc; phối hợp chặt chẽ với chủ đầu tư xử lý các vướng mắc phát sinh, rút ngắn thời gian kiểm soát chi.</w:t>
      </w:r>
    </w:p>
    <w:p w:rsidR="00642D99" w:rsidRDefault="00275FA4" w:rsidP="008A36BD">
      <w:pPr>
        <w:spacing w:after="0" w:line="271" w:lineRule="auto"/>
        <w:ind w:firstLine="720"/>
        <w:rPr>
          <w:spacing w:val="0"/>
        </w:rPr>
      </w:pPr>
      <w:r>
        <w:rPr>
          <w:spacing w:val="0"/>
        </w:rPr>
        <w:t>d)</w:t>
      </w:r>
      <w:r w:rsidR="00642D99" w:rsidRPr="00642D99">
        <w:rPr>
          <w:spacing w:val="0"/>
        </w:rPr>
        <w:t xml:space="preserve"> </w:t>
      </w:r>
      <w:r w:rsidR="000827CE">
        <w:rPr>
          <w:spacing w:val="0"/>
        </w:rPr>
        <w:t xml:space="preserve">Thành lập, công bố đường dây nóng </w:t>
      </w:r>
      <w:r>
        <w:rPr>
          <w:spacing w:val="0"/>
        </w:rPr>
        <w:t xml:space="preserve">tại Văn phòng Chính phủ, Bộ Kế hoạch và Đầu tư, Bộ Tài chính </w:t>
      </w:r>
      <w:r w:rsidR="000827CE">
        <w:rPr>
          <w:spacing w:val="0"/>
        </w:rPr>
        <w:t xml:space="preserve">để tiếp nhận phản ánh, xử lý những vướng mắc của chủ đầu tư đối với thủ tục, quy trình thanh toán qua Kho bạc Nhà nước. </w:t>
      </w:r>
    </w:p>
    <w:p w:rsidR="001855AF" w:rsidRPr="001855AF" w:rsidRDefault="001855AF" w:rsidP="008A36BD">
      <w:pPr>
        <w:spacing w:after="0" w:line="271" w:lineRule="auto"/>
        <w:ind w:firstLine="720"/>
        <w:rPr>
          <w:spacing w:val="0"/>
        </w:rPr>
      </w:pPr>
      <w:r w:rsidRPr="001855AF">
        <w:rPr>
          <w:spacing w:val="0"/>
        </w:rPr>
        <w:t xml:space="preserve">4. </w:t>
      </w:r>
      <w:r w:rsidR="000827CE">
        <w:rPr>
          <w:spacing w:val="0"/>
        </w:rPr>
        <w:t>Đ</w:t>
      </w:r>
      <w:r w:rsidRPr="001855AF">
        <w:rPr>
          <w:spacing w:val="0"/>
        </w:rPr>
        <w:t xml:space="preserve">ổi mới công tác lập, </w:t>
      </w:r>
      <w:proofErr w:type="gramStart"/>
      <w:r w:rsidRPr="001855AF">
        <w:rPr>
          <w:spacing w:val="0"/>
        </w:rPr>
        <w:t>theo</w:t>
      </w:r>
      <w:proofErr w:type="gramEnd"/>
      <w:r w:rsidRPr="001855AF">
        <w:rPr>
          <w:spacing w:val="0"/>
        </w:rPr>
        <w:t xml:space="preserve"> dõi, đánh giá và thực hiện kế hoạch đầu tư công nhằm nâng cao hiệu quả công tác quản lý đầu tư công trung hạn và </w:t>
      </w:r>
      <w:r w:rsidR="00164713">
        <w:rPr>
          <w:spacing w:val="0"/>
        </w:rPr>
        <w:t>hằng năm</w:t>
      </w:r>
      <w:r w:rsidRPr="001855AF">
        <w:rPr>
          <w:spacing w:val="0"/>
        </w:rPr>
        <w:t>:</w:t>
      </w:r>
    </w:p>
    <w:p w:rsidR="001855AF" w:rsidRPr="001855AF" w:rsidRDefault="005739DB" w:rsidP="008A36BD">
      <w:pPr>
        <w:spacing w:after="0" w:line="271" w:lineRule="auto"/>
        <w:ind w:firstLine="720"/>
        <w:rPr>
          <w:spacing w:val="0"/>
        </w:rPr>
      </w:pPr>
      <w:r>
        <w:rPr>
          <w:spacing w:val="0"/>
        </w:rPr>
        <w:t xml:space="preserve">a) </w:t>
      </w:r>
      <w:r w:rsidR="001855AF" w:rsidRPr="001855AF">
        <w:rPr>
          <w:spacing w:val="0"/>
        </w:rPr>
        <w:t>Bộ Kế hoạch và Đầ</w:t>
      </w:r>
      <w:r w:rsidR="009F4F4B">
        <w:rPr>
          <w:spacing w:val="0"/>
        </w:rPr>
        <w:t xml:space="preserve">u tư: </w:t>
      </w:r>
      <w:r w:rsidR="000827CE">
        <w:rPr>
          <w:spacing w:val="0"/>
        </w:rPr>
        <w:t>Tiếp tục h</w:t>
      </w:r>
      <w:r w:rsidR="001855AF" w:rsidRPr="001855AF">
        <w:rPr>
          <w:spacing w:val="0"/>
        </w:rPr>
        <w:t>oàn thiện</w:t>
      </w:r>
      <w:r w:rsidR="00AF0FA7">
        <w:rPr>
          <w:spacing w:val="0"/>
        </w:rPr>
        <w:t>, nâng cấp</w:t>
      </w:r>
      <w:r w:rsidR="001855AF" w:rsidRPr="001855AF">
        <w:rPr>
          <w:spacing w:val="0"/>
        </w:rPr>
        <w:t xml:space="preserve"> Hệ thống thông tin</w:t>
      </w:r>
      <w:r w:rsidR="00275FA4">
        <w:rPr>
          <w:spacing w:val="0"/>
        </w:rPr>
        <w:t xml:space="preserve"> về đầu tư sử dụng vốn nhà nước để</w:t>
      </w:r>
      <w:r w:rsidR="001855AF" w:rsidRPr="001855AF">
        <w:rPr>
          <w:spacing w:val="0"/>
        </w:rPr>
        <w:t xml:space="preserve"> cập nhật, lưu trữ các thông tin, dữ liệu liên quan đến việc lập, theo dõi và đánh giá thực hiện kế hoạch đầu tư công trung hạn và </w:t>
      </w:r>
      <w:r w:rsidR="00164713">
        <w:rPr>
          <w:spacing w:val="0"/>
        </w:rPr>
        <w:t>hằng năm</w:t>
      </w:r>
      <w:r w:rsidR="001855AF" w:rsidRPr="001855AF">
        <w:rPr>
          <w:spacing w:val="0"/>
        </w:rPr>
        <w:t xml:space="preserve">; lập, thẩm định, phê duyệt chủ trương đầu tư, quyết định đầu tư chương trình, dự án đầu tư công của </w:t>
      </w:r>
      <w:r w:rsidR="00484A33">
        <w:rPr>
          <w:spacing w:val="0"/>
        </w:rPr>
        <w:t xml:space="preserve">bộ, </w:t>
      </w:r>
      <w:r w:rsidR="00B30021">
        <w:rPr>
          <w:spacing w:val="0"/>
        </w:rPr>
        <w:t xml:space="preserve">cơ quan trung ương </w:t>
      </w:r>
      <w:r w:rsidR="00484A33">
        <w:rPr>
          <w:spacing w:val="0"/>
        </w:rPr>
        <w:t>và địa phương</w:t>
      </w:r>
      <w:r w:rsidR="000827CE">
        <w:rPr>
          <w:spacing w:val="0"/>
        </w:rPr>
        <w:t xml:space="preserve"> đảm bảo </w:t>
      </w:r>
    </w:p>
    <w:p w:rsidR="001855AF" w:rsidRDefault="005739DB" w:rsidP="008A36BD">
      <w:pPr>
        <w:spacing w:after="0" w:line="271" w:lineRule="auto"/>
        <w:ind w:firstLine="720"/>
        <w:rPr>
          <w:spacing w:val="0"/>
        </w:rPr>
      </w:pPr>
      <w:r>
        <w:rPr>
          <w:spacing w:val="0"/>
        </w:rPr>
        <w:t>b)</w:t>
      </w:r>
      <w:r w:rsidR="001855AF" w:rsidRPr="001855AF">
        <w:rPr>
          <w:spacing w:val="0"/>
        </w:rPr>
        <w:t xml:space="preserve"> Các </w:t>
      </w:r>
      <w:r w:rsidR="00484A33">
        <w:rPr>
          <w:spacing w:val="0"/>
        </w:rPr>
        <w:t xml:space="preserve">bộ, </w:t>
      </w:r>
      <w:r w:rsidR="00B30021">
        <w:rPr>
          <w:spacing w:val="0"/>
        </w:rPr>
        <w:t>cơ quan trung ương</w:t>
      </w:r>
      <w:r w:rsidR="00484A33">
        <w:rPr>
          <w:spacing w:val="0"/>
        </w:rPr>
        <w:t xml:space="preserve"> và địa phương</w:t>
      </w:r>
      <w:r w:rsidR="001855AF" w:rsidRPr="001855AF">
        <w:rPr>
          <w:spacing w:val="0"/>
        </w:rPr>
        <w:t xml:space="preserve"> chịu trách nhiệm rà soát, cập nhật thông tin của từng dự </w:t>
      </w:r>
      <w:proofErr w:type="gramStart"/>
      <w:r w:rsidR="001855AF" w:rsidRPr="001855AF">
        <w:rPr>
          <w:spacing w:val="0"/>
        </w:rPr>
        <w:t>án</w:t>
      </w:r>
      <w:proofErr w:type="gramEnd"/>
      <w:r w:rsidR="001855AF" w:rsidRPr="001855AF">
        <w:rPr>
          <w:spacing w:val="0"/>
        </w:rPr>
        <w:t xml:space="preserve"> lên </w:t>
      </w:r>
      <w:r w:rsidR="00D0481E">
        <w:rPr>
          <w:spacing w:val="0"/>
        </w:rPr>
        <w:t>H</w:t>
      </w:r>
      <w:r w:rsidR="00D0481E" w:rsidRPr="001855AF">
        <w:rPr>
          <w:spacing w:val="0"/>
        </w:rPr>
        <w:t xml:space="preserve">ệ </w:t>
      </w:r>
      <w:r w:rsidR="001855AF" w:rsidRPr="001855AF">
        <w:rPr>
          <w:spacing w:val="0"/>
        </w:rPr>
        <w:t xml:space="preserve">thống đảm bảo đúng với quy định pháp luật về đầu tư công và các văn bản hướng dẫn hiện hành. Bộ Kế hoạch và Đầu tư chịu trách nhiệm rà soát lại thông tin các dự án trên </w:t>
      </w:r>
      <w:r w:rsidR="00610AFB">
        <w:rPr>
          <w:spacing w:val="0"/>
        </w:rPr>
        <w:t>H</w:t>
      </w:r>
      <w:r w:rsidR="00610AFB" w:rsidRPr="001855AF">
        <w:rPr>
          <w:spacing w:val="0"/>
        </w:rPr>
        <w:t xml:space="preserve">ệ </w:t>
      </w:r>
      <w:r w:rsidR="001855AF" w:rsidRPr="001855AF">
        <w:rPr>
          <w:spacing w:val="0"/>
        </w:rPr>
        <w:t xml:space="preserve">thống, báo cáo Thủ tướng Chính phủ và kiên quyết loại bỏ khỏi </w:t>
      </w:r>
      <w:r w:rsidR="00BF2B92">
        <w:rPr>
          <w:spacing w:val="0"/>
        </w:rPr>
        <w:t>H</w:t>
      </w:r>
      <w:r w:rsidR="00BF2B92" w:rsidRPr="001855AF">
        <w:rPr>
          <w:spacing w:val="0"/>
        </w:rPr>
        <w:t xml:space="preserve">ệ </w:t>
      </w:r>
      <w:r w:rsidR="001855AF" w:rsidRPr="001855AF">
        <w:rPr>
          <w:spacing w:val="0"/>
        </w:rPr>
        <w:t>thống những dự án không cập nhật đúng thủ tục theo quy định hiện</w:t>
      </w:r>
      <w:r w:rsidR="0005723C">
        <w:rPr>
          <w:spacing w:val="0"/>
        </w:rPr>
        <w:t xml:space="preserve"> hành</w:t>
      </w:r>
      <w:r w:rsidR="001855AF" w:rsidRPr="001855AF">
        <w:rPr>
          <w:spacing w:val="0"/>
        </w:rPr>
        <w:t>.</w:t>
      </w:r>
    </w:p>
    <w:p w:rsidR="009E78F6" w:rsidRPr="009E78F6" w:rsidRDefault="004473EA" w:rsidP="008A36BD">
      <w:pPr>
        <w:spacing w:after="0" w:line="271" w:lineRule="auto"/>
        <w:ind w:firstLine="720"/>
        <w:rPr>
          <w:spacing w:val="0"/>
        </w:rPr>
      </w:pPr>
      <w:r>
        <w:rPr>
          <w:spacing w:val="0"/>
        </w:rPr>
        <w:t>5</w:t>
      </w:r>
      <w:r w:rsidR="009E78F6" w:rsidRPr="009E78F6">
        <w:rPr>
          <w:spacing w:val="0"/>
        </w:rPr>
        <w:t>. Tăng cường kỷ luật, kỷ cương; nâng cao trách nhiệm</w:t>
      </w:r>
      <w:r w:rsidR="009E78F6">
        <w:rPr>
          <w:spacing w:val="0"/>
        </w:rPr>
        <w:t xml:space="preserve"> của</w:t>
      </w:r>
      <w:r w:rsidR="009E78F6" w:rsidRPr="009E78F6">
        <w:rPr>
          <w:spacing w:val="0"/>
        </w:rPr>
        <w:t xml:space="preserve"> </w:t>
      </w:r>
      <w:r w:rsidR="009E78F6">
        <w:rPr>
          <w:spacing w:val="0"/>
        </w:rPr>
        <w:t xml:space="preserve">người đứng đầu, của </w:t>
      </w:r>
      <w:r w:rsidR="009E78F6" w:rsidRPr="009E78F6">
        <w:rPr>
          <w:spacing w:val="0"/>
        </w:rPr>
        <w:t xml:space="preserve">công chức và đạo đức công vụ; tăng cường công tác phối hợp </w:t>
      </w:r>
      <w:proofErr w:type="gramStart"/>
      <w:r w:rsidR="009E78F6" w:rsidRPr="009E78F6">
        <w:rPr>
          <w:spacing w:val="0"/>
        </w:rPr>
        <w:t>theo</w:t>
      </w:r>
      <w:proofErr w:type="gramEnd"/>
      <w:r w:rsidR="009E78F6" w:rsidRPr="009E78F6">
        <w:rPr>
          <w:spacing w:val="0"/>
        </w:rPr>
        <w:t xml:space="preserve"> dõi, kiểm tra, thanh tra và thực hiện kế hoạch:</w:t>
      </w:r>
    </w:p>
    <w:p w:rsidR="009E78F6" w:rsidRPr="009E78F6" w:rsidRDefault="009E78F6" w:rsidP="008A36BD">
      <w:pPr>
        <w:spacing w:after="0" w:line="271" w:lineRule="auto"/>
        <w:ind w:firstLine="720"/>
        <w:rPr>
          <w:spacing w:val="0"/>
        </w:rPr>
      </w:pPr>
      <w:r w:rsidRPr="009E78F6">
        <w:rPr>
          <w:spacing w:val="0"/>
        </w:rPr>
        <w:t xml:space="preserve">a) Các </w:t>
      </w:r>
      <w:r w:rsidR="00484A33">
        <w:rPr>
          <w:spacing w:val="0"/>
        </w:rPr>
        <w:t xml:space="preserve">bộ, </w:t>
      </w:r>
      <w:r w:rsidR="00B30021">
        <w:rPr>
          <w:spacing w:val="0"/>
        </w:rPr>
        <w:t>cơ quan trung ương</w:t>
      </w:r>
      <w:r w:rsidR="00484A33">
        <w:rPr>
          <w:spacing w:val="0"/>
        </w:rPr>
        <w:t xml:space="preserve"> và địa phương</w:t>
      </w:r>
      <w:r w:rsidRPr="009E78F6">
        <w:rPr>
          <w:spacing w:val="0"/>
        </w:rPr>
        <w:t xml:space="preserve">: </w:t>
      </w:r>
    </w:p>
    <w:p w:rsidR="00810D97" w:rsidRDefault="009E78F6" w:rsidP="008A36BD">
      <w:pPr>
        <w:spacing w:after="0" w:line="271" w:lineRule="auto"/>
        <w:ind w:firstLine="720"/>
        <w:rPr>
          <w:spacing w:val="0"/>
        </w:rPr>
      </w:pPr>
      <w:r w:rsidRPr="009E78F6">
        <w:rPr>
          <w:spacing w:val="0"/>
        </w:rPr>
        <w:t xml:space="preserve">- Chủ động tổ chức kiểm tra, giám sát việc triển khai thực hiện kế hoạch. Kiên quyết xử lý nghiêm và kịp thời các tổ chức, cá nhân, lãnh đạo, cán bộ, công chức </w:t>
      </w:r>
      <w:proofErr w:type="gramStart"/>
      <w:r w:rsidRPr="009E78F6">
        <w:rPr>
          <w:spacing w:val="0"/>
        </w:rPr>
        <w:t>vi</w:t>
      </w:r>
      <w:proofErr w:type="gramEnd"/>
      <w:r w:rsidRPr="009E78F6">
        <w:rPr>
          <w:spacing w:val="0"/>
        </w:rPr>
        <w:t xml:space="preserve"> phạm </w:t>
      </w:r>
      <w:r w:rsidR="00810D97">
        <w:rPr>
          <w:spacing w:val="0"/>
        </w:rPr>
        <w:t xml:space="preserve">quy định của pháp luật </w:t>
      </w:r>
      <w:r w:rsidRPr="009E78F6">
        <w:rPr>
          <w:spacing w:val="0"/>
        </w:rPr>
        <w:t xml:space="preserve">và cố tình cản trở, gây khó khăn, làm chậm tiến độ </w:t>
      </w:r>
      <w:r>
        <w:rPr>
          <w:spacing w:val="0"/>
        </w:rPr>
        <w:t xml:space="preserve">giao, </w:t>
      </w:r>
      <w:r w:rsidRPr="009E78F6">
        <w:rPr>
          <w:spacing w:val="0"/>
        </w:rPr>
        <w:t xml:space="preserve">thực hiện và giải ngân kế hoạch đầu tư công. </w:t>
      </w:r>
      <w:r w:rsidR="00810D97" w:rsidRPr="009E78F6">
        <w:rPr>
          <w:spacing w:val="0"/>
        </w:rPr>
        <w:t xml:space="preserve">Thay thế kịp </w:t>
      </w:r>
      <w:r w:rsidR="00810D97" w:rsidRPr="009E78F6">
        <w:rPr>
          <w:spacing w:val="0"/>
        </w:rPr>
        <w:lastRenderedPageBreak/>
        <w:t>thời những cán bộ, công chức yếu kém</w:t>
      </w:r>
      <w:r w:rsidR="00810D97">
        <w:rPr>
          <w:spacing w:val="0"/>
        </w:rPr>
        <w:t xml:space="preserve"> </w:t>
      </w:r>
      <w:r w:rsidR="00810D97" w:rsidRPr="00810D97">
        <w:rPr>
          <w:spacing w:val="0"/>
        </w:rPr>
        <w:t>về năng lực, trình độ hoặc suy thoái về đạo đức nghề nghiệp</w:t>
      </w:r>
      <w:r w:rsidR="00810D97">
        <w:rPr>
          <w:spacing w:val="0"/>
        </w:rPr>
        <w:t xml:space="preserve">, </w:t>
      </w:r>
      <w:r w:rsidR="00810D97" w:rsidRPr="00810D97">
        <w:rPr>
          <w:spacing w:val="0"/>
        </w:rPr>
        <w:t xml:space="preserve">gây nhũng nhiễu, tiêu cực hoặc thao túng, chi phối </w:t>
      </w:r>
      <w:r w:rsidR="00810D97" w:rsidRPr="009E78F6">
        <w:rPr>
          <w:spacing w:val="0"/>
        </w:rPr>
        <w:t>trong quản lý vốn đầu tư công, đấu thầu.</w:t>
      </w:r>
    </w:p>
    <w:p w:rsidR="00810D97" w:rsidRPr="00810D97" w:rsidRDefault="00810D97" w:rsidP="008A36BD">
      <w:pPr>
        <w:spacing w:after="0" w:line="271" w:lineRule="auto"/>
        <w:ind w:firstLine="720"/>
        <w:rPr>
          <w:spacing w:val="0"/>
        </w:rPr>
      </w:pPr>
      <w:r w:rsidRPr="00810D97">
        <w:rPr>
          <w:spacing w:val="0"/>
        </w:rPr>
        <w:t xml:space="preserve">- Kiên quyết xử lý các hành </w:t>
      </w:r>
      <w:proofErr w:type="gramStart"/>
      <w:r w:rsidRPr="00810D97">
        <w:rPr>
          <w:spacing w:val="0"/>
        </w:rPr>
        <w:t>vi</w:t>
      </w:r>
      <w:proofErr w:type="gramEnd"/>
      <w:r w:rsidRPr="00810D97">
        <w:rPr>
          <w:spacing w:val="0"/>
        </w:rPr>
        <w:t xml:space="preserve"> tiêu cực như thông thầu, gian lận, cản trở, hối lộ, can thiệp bất hợp pháp. Trường hợp phát hiện thì xử lý </w:t>
      </w:r>
      <w:proofErr w:type="gramStart"/>
      <w:r w:rsidRPr="00810D97">
        <w:rPr>
          <w:spacing w:val="0"/>
        </w:rPr>
        <w:t>theo</w:t>
      </w:r>
      <w:proofErr w:type="gramEnd"/>
      <w:r w:rsidRPr="00810D97">
        <w:rPr>
          <w:spacing w:val="0"/>
        </w:rPr>
        <w:t xml:space="preserve"> quy định hoặc rút vốn, điều chuyển vốn cho dự án, công trình khác.</w:t>
      </w:r>
    </w:p>
    <w:p w:rsidR="006D2755" w:rsidRDefault="009E78F6" w:rsidP="008A36BD">
      <w:pPr>
        <w:spacing w:after="0" w:line="271" w:lineRule="auto"/>
        <w:ind w:firstLine="720"/>
        <w:rPr>
          <w:spacing w:val="0"/>
        </w:rPr>
      </w:pPr>
      <w:r w:rsidRPr="009E78F6">
        <w:rPr>
          <w:spacing w:val="0"/>
        </w:rPr>
        <w:t xml:space="preserve">- Định kỳ trước ngày 25 </w:t>
      </w:r>
      <w:r w:rsidR="00E87F2A" w:rsidRPr="009E78F6">
        <w:rPr>
          <w:spacing w:val="0"/>
        </w:rPr>
        <w:t>h</w:t>
      </w:r>
      <w:r w:rsidR="00E87F2A">
        <w:rPr>
          <w:spacing w:val="0"/>
        </w:rPr>
        <w:t>ằ</w:t>
      </w:r>
      <w:r w:rsidR="00E87F2A" w:rsidRPr="009E78F6">
        <w:rPr>
          <w:spacing w:val="0"/>
        </w:rPr>
        <w:t xml:space="preserve">ng </w:t>
      </w:r>
      <w:r w:rsidRPr="009E78F6">
        <w:rPr>
          <w:spacing w:val="0"/>
        </w:rPr>
        <w:t>tháng báo cáo tình hình thực hiện và giải ngân kế hoạch vốn đầu tư công năm 201</w:t>
      </w:r>
      <w:r w:rsidR="000827CE">
        <w:rPr>
          <w:spacing w:val="0"/>
        </w:rPr>
        <w:t>9</w:t>
      </w:r>
      <w:r>
        <w:rPr>
          <w:spacing w:val="0"/>
        </w:rPr>
        <w:t xml:space="preserve"> và phần vốn được phép kéo dài thời gian thực hiện và giả</w:t>
      </w:r>
      <w:r w:rsidR="000827CE">
        <w:rPr>
          <w:spacing w:val="0"/>
        </w:rPr>
        <w:t>i ngân sang năm 2019</w:t>
      </w:r>
      <w:r w:rsidRPr="009E78F6">
        <w:rPr>
          <w:spacing w:val="0"/>
        </w:rPr>
        <w:t>, gửi các Bộ: Kế hoạch và Đầu tư, Tài chính, đồng gửi Văn phòng Chính phủ.</w:t>
      </w:r>
    </w:p>
    <w:p w:rsidR="009E78F6" w:rsidRPr="009E78F6" w:rsidRDefault="009E78F6" w:rsidP="008A36BD">
      <w:pPr>
        <w:spacing w:after="0" w:line="271" w:lineRule="auto"/>
        <w:ind w:firstLine="720"/>
        <w:rPr>
          <w:spacing w:val="0"/>
        </w:rPr>
      </w:pPr>
      <w:r w:rsidRPr="009E78F6">
        <w:rPr>
          <w:spacing w:val="0"/>
        </w:rPr>
        <w:t>b) Bộ Tài chính:</w:t>
      </w:r>
    </w:p>
    <w:p w:rsidR="009E78F6" w:rsidRDefault="00275FA4" w:rsidP="008A36BD">
      <w:pPr>
        <w:spacing w:after="0" w:line="271" w:lineRule="auto"/>
        <w:ind w:firstLine="720"/>
        <w:rPr>
          <w:spacing w:val="0"/>
        </w:rPr>
      </w:pPr>
      <w:r>
        <w:rPr>
          <w:spacing w:val="0"/>
        </w:rPr>
        <w:t xml:space="preserve">- </w:t>
      </w:r>
      <w:r w:rsidR="009E78F6" w:rsidRPr="009E78F6">
        <w:rPr>
          <w:spacing w:val="0"/>
        </w:rPr>
        <w:t xml:space="preserve">Định kỳ trước ngày 25 </w:t>
      </w:r>
      <w:r w:rsidR="00DA209C" w:rsidRPr="009E78F6">
        <w:rPr>
          <w:spacing w:val="0"/>
        </w:rPr>
        <w:t>h</w:t>
      </w:r>
      <w:r w:rsidR="00DA209C">
        <w:rPr>
          <w:spacing w:val="0"/>
        </w:rPr>
        <w:t>ằ</w:t>
      </w:r>
      <w:r w:rsidR="00DA209C" w:rsidRPr="009E78F6">
        <w:rPr>
          <w:spacing w:val="0"/>
        </w:rPr>
        <w:t xml:space="preserve">ng </w:t>
      </w:r>
      <w:r w:rsidR="009E78F6" w:rsidRPr="009E78F6">
        <w:rPr>
          <w:spacing w:val="0"/>
        </w:rPr>
        <w:t>tháng báo cáo Thủ tướng Chính phủ, đồng gửi Bộ Kế hoạch và Đầu tư tình hình giải ngân vốn đầu tư nguồ</w:t>
      </w:r>
      <w:r w:rsidR="008949B2">
        <w:rPr>
          <w:spacing w:val="0"/>
        </w:rPr>
        <w:t>n NSNN (bao gồm</w:t>
      </w:r>
      <w:r w:rsidR="009E78F6" w:rsidRPr="009E78F6">
        <w:rPr>
          <w:spacing w:val="0"/>
        </w:rPr>
        <w:t xml:space="preserve"> trái phiếu Chính phủ</w:t>
      </w:r>
      <w:r w:rsidR="008949B2">
        <w:rPr>
          <w:spacing w:val="0"/>
        </w:rPr>
        <w:t>)</w:t>
      </w:r>
      <w:r w:rsidR="009E78F6" w:rsidRPr="009E78F6">
        <w:rPr>
          <w:spacing w:val="0"/>
        </w:rPr>
        <w:t xml:space="preserve"> của các bộ, ng</w:t>
      </w:r>
      <w:r w:rsidR="006C64A3">
        <w:rPr>
          <w:spacing w:val="0"/>
        </w:rPr>
        <w:t>ành trung ương và địa phương.</w:t>
      </w:r>
      <w:r w:rsidR="009E78F6" w:rsidRPr="009E78F6">
        <w:rPr>
          <w:spacing w:val="0"/>
        </w:rPr>
        <w:t xml:space="preserve"> </w:t>
      </w:r>
    </w:p>
    <w:p w:rsidR="00275FA4" w:rsidRPr="009E78F6" w:rsidRDefault="00275FA4" w:rsidP="008A36BD">
      <w:pPr>
        <w:spacing w:after="0" w:line="271" w:lineRule="auto"/>
        <w:ind w:firstLine="720"/>
        <w:rPr>
          <w:spacing w:val="0"/>
        </w:rPr>
      </w:pPr>
      <w:r>
        <w:rPr>
          <w:spacing w:val="0"/>
        </w:rPr>
        <w:t xml:space="preserve">- </w:t>
      </w:r>
      <w:r w:rsidRPr="00275FA4">
        <w:rPr>
          <w:spacing w:val="0"/>
        </w:rPr>
        <w:t>Công khai tình hình thực hiện và tỷ lệ giải ngân của các bộ, cơ quan trung ương, địa phương trên các phương tiện thông tin đại chúng.</w:t>
      </w:r>
    </w:p>
    <w:p w:rsidR="009E78F6" w:rsidRPr="009E78F6" w:rsidRDefault="009E78F6" w:rsidP="008A36BD">
      <w:pPr>
        <w:spacing w:after="0" w:line="271" w:lineRule="auto"/>
        <w:ind w:firstLine="720"/>
        <w:rPr>
          <w:spacing w:val="0"/>
        </w:rPr>
      </w:pPr>
      <w:r w:rsidRPr="009E78F6">
        <w:rPr>
          <w:spacing w:val="0"/>
        </w:rPr>
        <w:t>c) Bộ Kế hoạch và Đầu tư:</w:t>
      </w:r>
    </w:p>
    <w:p w:rsidR="009E78F6" w:rsidRPr="009E78F6" w:rsidRDefault="009E78F6" w:rsidP="008A36BD">
      <w:pPr>
        <w:spacing w:after="0" w:line="271" w:lineRule="auto"/>
        <w:ind w:firstLine="720"/>
        <w:rPr>
          <w:spacing w:val="0"/>
        </w:rPr>
      </w:pPr>
      <w:r w:rsidRPr="009E78F6">
        <w:rPr>
          <w:spacing w:val="0"/>
        </w:rPr>
        <w:t xml:space="preserve">- Chủ trì, phối hợp với các bộ, </w:t>
      </w:r>
      <w:r w:rsidR="009D5F80">
        <w:rPr>
          <w:spacing w:val="0"/>
        </w:rPr>
        <w:t>cơ quan</w:t>
      </w:r>
      <w:r w:rsidRPr="009E78F6">
        <w:rPr>
          <w:spacing w:val="0"/>
        </w:rPr>
        <w:t xml:space="preserve"> trung ương và địa phương tăng cường kiểm tra, thanh tra, giám sát các dự án đầu tư sử dụng vốn đầu tư công.</w:t>
      </w:r>
    </w:p>
    <w:p w:rsidR="009E78F6" w:rsidRPr="009E78F6" w:rsidRDefault="009E78F6" w:rsidP="008A36BD">
      <w:pPr>
        <w:spacing w:after="0" w:line="271" w:lineRule="auto"/>
        <w:ind w:firstLine="720"/>
        <w:rPr>
          <w:spacing w:val="0"/>
        </w:rPr>
      </w:pPr>
      <w:r w:rsidRPr="009E78F6">
        <w:rPr>
          <w:spacing w:val="0"/>
        </w:rPr>
        <w:t xml:space="preserve">- Trên cơ sở báo cáo của các </w:t>
      </w:r>
      <w:r w:rsidR="00484A33">
        <w:rPr>
          <w:spacing w:val="0"/>
        </w:rPr>
        <w:t xml:space="preserve">bộ, </w:t>
      </w:r>
      <w:r w:rsidR="00B30021">
        <w:rPr>
          <w:spacing w:val="0"/>
        </w:rPr>
        <w:t>cơ quan trung ương</w:t>
      </w:r>
      <w:r w:rsidR="00484A33">
        <w:rPr>
          <w:spacing w:val="0"/>
        </w:rPr>
        <w:t xml:space="preserve"> và địa phương</w:t>
      </w:r>
      <w:r w:rsidRPr="009E78F6">
        <w:rPr>
          <w:spacing w:val="0"/>
        </w:rPr>
        <w:t xml:space="preserve">, tổng hợp báo cáo Phó Thủ tướng Chính phủ, Tổ trưởng Tổ công tác tình hình thực hiện và giải ngân tại các cuộc họp </w:t>
      </w:r>
      <w:r w:rsidR="0074414B">
        <w:rPr>
          <w:spacing w:val="0"/>
        </w:rPr>
        <w:t>hằng</w:t>
      </w:r>
      <w:r w:rsidR="0074414B" w:rsidRPr="009E78F6">
        <w:rPr>
          <w:spacing w:val="0"/>
        </w:rPr>
        <w:t xml:space="preserve"> </w:t>
      </w:r>
      <w:r w:rsidRPr="009E78F6">
        <w:rPr>
          <w:spacing w:val="0"/>
        </w:rPr>
        <w:t>quý của Tổ công tác tình hình thực hiện và giải ngân hoặc khi có yêu cầu.</w:t>
      </w:r>
    </w:p>
    <w:p w:rsidR="006A7082" w:rsidRDefault="009E78F6" w:rsidP="008A36BD">
      <w:pPr>
        <w:spacing w:after="0" w:line="271" w:lineRule="auto"/>
        <w:ind w:firstLine="720"/>
        <w:rPr>
          <w:spacing w:val="0"/>
        </w:rPr>
      </w:pPr>
      <w:r w:rsidRPr="009E78F6">
        <w:rPr>
          <w:spacing w:val="0"/>
        </w:rPr>
        <w:t xml:space="preserve"> - Trên cơ sở kết quả giải ngân những tháng đầu năm và ước thực hiện cả năm, rà soát trình Thủ tướng Chính phủ báo cáo Quốc hội mức vốn kế hoạch năm 201</w:t>
      </w:r>
      <w:r w:rsidR="000827CE">
        <w:rPr>
          <w:spacing w:val="0"/>
        </w:rPr>
        <w:t>9</w:t>
      </w:r>
      <w:r w:rsidRPr="009E78F6">
        <w:rPr>
          <w:spacing w:val="0"/>
        </w:rPr>
        <w:t xml:space="preserve"> sát với khả năng thực hiện và giải ngân của từng </w:t>
      </w:r>
      <w:r w:rsidR="00484A33">
        <w:rPr>
          <w:spacing w:val="0"/>
        </w:rPr>
        <w:t xml:space="preserve">bộ, </w:t>
      </w:r>
      <w:r w:rsidR="00B30021">
        <w:rPr>
          <w:spacing w:val="0"/>
        </w:rPr>
        <w:t>cơ quan trung ương</w:t>
      </w:r>
      <w:r w:rsidR="00484A33">
        <w:rPr>
          <w:spacing w:val="0"/>
        </w:rPr>
        <w:t xml:space="preserve"> và địa phương</w:t>
      </w:r>
      <w:r w:rsidR="006A7082">
        <w:rPr>
          <w:spacing w:val="0"/>
        </w:rPr>
        <w:t xml:space="preserve">. </w:t>
      </w:r>
      <w:r w:rsidR="006A7082" w:rsidRPr="00917E0F">
        <w:rPr>
          <w:spacing w:val="0"/>
        </w:rPr>
        <w:t xml:space="preserve">Các </w:t>
      </w:r>
      <w:r w:rsidR="002F45C7" w:rsidRPr="00917E0F">
        <w:rPr>
          <w:spacing w:val="0"/>
        </w:rPr>
        <w:t>dự án</w:t>
      </w:r>
      <w:r w:rsidR="006A7082" w:rsidRPr="00917E0F">
        <w:rPr>
          <w:spacing w:val="0"/>
        </w:rPr>
        <w:t xml:space="preserve"> </w:t>
      </w:r>
      <w:r w:rsidR="00B00B50" w:rsidRPr="00917E0F">
        <w:rPr>
          <w:spacing w:val="0"/>
        </w:rPr>
        <w:t>sử dụng vốn ngân sách</w:t>
      </w:r>
      <w:r w:rsidR="001345C2" w:rsidRPr="00917E0F">
        <w:rPr>
          <w:spacing w:val="0"/>
        </w:rPr>
        <w:t xml:space="preserve"> nhà nước</w:t>
      </w:r>
      <w:r w:rsidR="00B00B50" w:rsidRPr="00917E0F">
        <w:rPr>
          <w:spacing w:val="0"/>
        </w:rPr>
        <w:t xml:space="preserve"> (</w:t>
      </w:r>
      <w:r w:rsidR="001345C2" w:rsidRPr="00917E0F">
        <w:rPr>
          <w:spacing w:val="0"/>
        </w:rPr>
        <w:t>vốn trong nước)</w:t>
      </w:r>
      <w:r w:rsidR="00B00B50" w:rsidRPr="00917E0F">
        <w:rPr>
          <w:spacing w:val="0"/>
        </w:rPr>
        <w:t xml:space="preserve"> </w:t>
      </w:r>
      <w:r w:rsidR="006A7082" w:rsidRPr="00917E0F">
        <w:rPr>
          <w:spacing w:val="0"/>
        </w:rPr>
        <w:t xml:space="preserve">đến ngày 30 tháng </w:t>
      </w:r>
      <w:r w:rsidR="000827CE">
        <w:rPr>
          <w:spacing w:val="0"/>
        </w:rPr>
        <w:t>11</w:t>
      </w:r>
      <w:r w:rsidR="006A7082" w:rsidRPr="00917E0F">
        <w:rPr>
          <w:spacing w:val="0"/>
        </w:rPr>
        <w:t xml:space="preserve"> năm 201</w:t>
      </w:r>
      <w:r w:rsidR="000827CE">
        <w:rPr>
          <w:spacing w:val="0"/>
        </w:rPr>
        <w:t>9</w:t>
      </w:r>
      <w:r w:rsidR="006A7082" w:rsidRPr="00917E0F">
        <w:rPr>
          <w:spacing w:val="0"/>
        </w:rPr>
        <w:t xml:space="preserve"> giải ngân đạt dưới </w:t>
      </w:r>
      <w:r w:rsidR="000827CE">
        <w:rPr>
          <w:spacing w:val="0"/>
        </w:rPr>
        <w:t>5</w:t>
      </w:r>
      <w:r w:rsidR="006A7082" w:rsidRPr="00917E0F">
        <w:rPr>
          <w:spacing w:val="0"/>
        </w:rPr>
        <w:t>0% kế hoạch vốn năm 201</w:t>
      </w:r>
      <w:r w:rsidR="000827CE">
        <w:rPr>
          <w:spacing w:val="0"/>
        </w:rPr>
        <w:t>9</w:t>
      </w:r>
      <w:r w:rsidR="006A7082" w:rsidRPr="00917E0F">
        <w:rPr>
          <w:spacing w:val="0"/>
        </w:rPr>
        <w:t xml:space="preserve"> được giao đầu năm</w:t>
      </w:r>
      <w:r w:rsidR="000827CE">
        <w:rPr>
          <w:spacing w:val="0"/>
        </w:rPr>
        <w:t xml:space="preserve"> trừ những dự án mua sắm trang thiết bị</w:t>
      </w:r>
      <w:r w:rsidR="006A7082" w:rsidRPr="00917E0F">
        <w:rPr>
          <w:spacing w:val="0"/>
        </w:rPr>
        <w:t>,</w:t>
      </w:r>
      <w:r w:rsidR="00917E0F">
        <w:rPr>
          <w:spacing w:val="0"/>
        </w:rPr>
        <w:t xml:space="preserve"> </w:t>
      </w:r>
      <w:r w:rsidR="006A7082" w:rsidRPr="006A7082">
        <w:rPr>
          <w:spacing w:val="0"/>
        </w:rPr>
        <w:t xml:space="preserve">kiên </w:t>
      </w:r>
      <w:r w:rsidR="006A7082" w:rsidRPr="00F650E9">
        <w:rPr>
          <w:spacing w:val="0"/>
        </w:rPr>
        <w:t xml:space="preserve">quyết không bố trí kế hoạch năm </w:t>
      </w:r>
      <w:r w:rsidR="00375149" w:rsidRPr="00F650E9">
        <w:rPr>
          <w:spacing w:val="0"/>
        </w:rPr>
        <w:t>2020</w:t>
      </w:r>
      <w:r w:rsidR="006A7082" w:rsidRPr="00F650E9">
        <w:rPr>
          <w:spacing w:val="0"/>
        </w:rPr>
        <w:t xml:space="preserve"> để tập trung thực hiện hết số vốn kế hoạch năm 201</w:t>
      </w:r>
      <w:r w:rsidR="00375149" w:rsidRPr="00F650E9">
        <w:rPr>
          <w:spacing w:val="0"/>
        </w:rPr>
        <w:t>9</w:t>
      </w:r>
      <w:r w:rsidR="006A7082" w:rsidRPr="00F650E9">
        <w:rPr>
          <w:spacing w:val="0"/>
        </w:rPr>
        <w:t xml:space="preserve"> kéo dài thời gian thực hiện sang năm 20</w:t>
      </w:r>
      <w:r w:rsidR="00375149" w:rsidRPr="00F650E9">
        <w:rPr>
          <w:spacing w:val="0"/>
        </w:rPr>
        <w:t>20</w:t>
      </w:r>
      <w:r w:rsidR="006A7082" w:rsidRPr="00F650E9">
        <w:rPr>
          <w:spacing w:val="0"/>
        </w:rPr>
        <w:t>.</w:t>
      </w:r>
      <w:bookmarkStart w:id="0" w:name="_GoBack"/>
      <w:bookmarkEnd w:id="0"/>
    </w:p>
    <w:p w:rsidR="00EE5C98" w:rsidRDefault="00EE5C98" w:rsidP="008A36BD">
      <w:pPr>
        <w:spacing w:after="0" w:line="271" w:lineRule="auto"/>
        <w:ind w:firstLine="720"/>
        <w:rPr>
          <w:spacing w:val="0"/>
        </w:rPr>
      </w:pPr>
      <w:r>
        <w:rPr>
          <w:spacing w:val="0"/>
        </w:rPr>
        <w:t>d</w:t>
      </w:r>
      <w:r w:rsidRPr="00D03C45">
        <w:rPr>
          <w:spacing w:val="0"/>
        </w:rPr>
        <w:t>) Bộ Xây dựng: Tăng cường kiểm tra, đôn đốc việc triển khai, tổ chức thực hiện các quy định về lập, thẩm định dự án đầu tư xây dựng, thiết kế dự toán xây dựng công trình, việc thành lập các ban quản lý chuyên ngành, ban quản lý khu vực và quản lý đầu tư xây dựng, về giấy phép xây dựng, giải quyết kịp thời các khó khăn, vướng mắc phát sinh.</w:t>
      </w:r>
    </w:p>
    <w:p w:rsidR="009E78F6" w:rsidRPr="009E78F6" w:rsidRDefault="00EE5C98" w:rsidP="008A36BD">
      <w:pPr>
        <w:spacing w:after="0" w:line="271" w:lineRule="auto"/>
        <w:ind w:firstLine="720"/>
        <w:rPr>
          <w:spacing w:val="0"/>
        </w:rPr>
      </w:pPr>
      <w:r>
        <w:rPr>
          <w:spacing w:val="0"/>
        </w:rPr>
        <w:lastRenderedPageBreak/>
        <w:t>đ</w:t>
      </w:r>
      <w:r w:rsidR="009E78F6" w:rsidRPr="009E78F6">
        <w:rPr>
          <w:spacing w:val="0"/>
        </w:rPr>
        <w:t>) Các cơ quan thanh tra, kiểm tra:</w:t>
      </w:r>
    </w:p>
    <w:p w:rsidR="00224539" w:rsidRDefault="00224539" w:rsidP="008A36BD">
      <w:pPr>
        <w:spacing w:after="0" w:line="271" w:lineRule="auto"/>
        <w:ind w:firstLine="720"/>
        <w:rPr>
          <w:spacing w:val="0"/>
        </w:rPr>
      </w:pPr>
      <w:r>
        <w:rPr>
          <w:spacing w:val="0"/>
        </w:rPr>
        <w:t xml:space="preserve">- </w:t>
      </w:r>
      <w:r w:rsidR="009E78F6" w:rsidRPr="009E78F6">
        <w:rPr>
          <w:spacing w:val="0"/>
        </w:rPr>
        <w:t xml:space="preserve">Tăng cường công tác thanh tra, kiểm tra việc triển khai thực hiện kế hoạch đầu tư công, bảo đảm đúng mục đích, hiệu quả, tiết kiệm, chống lãng phí và tuân thủ đúng quy định của pháp luật. </w:t>
      </w:r>
    </w:p>
    <w:p w:rsidR="009E78F6" w:rsidRPr="00B00B50" w:rsidRDefault="00224539" w:rsidP="008A36BD">
      <w:pPr>
        <w:spacing w:after="0" w:line="271" w:lineRule="auto"/>
        <w:ind w:firstLine="720"/>
        <w:rPr>
          <w:spacing w:val="0"/>
        </w:rPr>
      </w:pPr>
      <w:r>
        <w:rPr>
          <w:spacing w:val="0"/>
        </w:rPr>
        <w:t xml:space="preserve">- Công khai và làm rõ trách nhiệm tổ chức, cá nhân của các </w:t>
      </w:r>
      <w:r w:rsidR="00484A33">
        <w:rPr>
          <w:spacing w:val="0"/>
        </w:rPr>
        <w:t xml:space="preserve">bộ, </w:t>
      </w:r>
      <w:r w:rsidR="00B30021">
        <w:rPr>
          <w:spacing w:val="0"/>
        </w:rPr>
        <w:t>cơ quan trung ương</w:t>
      </w:r>
      <w:r w:rsidR="00484A33">
        <w:rPr>
          <w:spacing w:val="0"/>
        </w:rPr>
        <w:t xml:space="preserve"> và địa phương</w:t>
      </w:r>
      <w:r>
        <w:rPr>
          <w:spacing w:val="0"/>
        </w:rPr>
        <w:t xml:space="preserve"> gây </w:t>
      </w:r>
      <w:r w:rsidR="009E78F6" w:rsidRPr="009E78F6">
        <w:rPr>
          <w:spacing w:val="0"/>
        </w:rPr>
        <w:t>chậm trễ trong việc giao vố</w:t>
      </w:r>
      <w:r w:rsidR="007C7F84">
        <w:rPr>
          <w:spacing w:val="0"/>
        </w:rPr>
        <w:t>n</w:t>
      </w:r>
      <w:r>
        <w:rPr>
          <w:spacing w:val="0"/>
        </w:rPr>
        <w:t>, chậm giải ngân;</w:t>
      </w:r>
      <w:r w:rsidR="009E78F6" w:rsidRPr="009E78F6">
        <w:rPr>
          <w:spacing w:val="0"/>
        </w:rPr>
        <w:t xml:space="preserve"> </w:t>
      </w:r>
      <w:r w:rsidRPr="00917E0F">
        <w:rPr>
          <w:spacing w:val="0"/>
        </w:rPr>
        <w:t>k</w:t>
      </w:r>
      <w:r w:rsidR="009E78F6" w:rsidRPr="00917E0F">
        <w:rPr>
          <w:spacing w:val="0"/>
        </w:rPr>
        <w:t xml:space="preserve">ịp thời kiến nghị cấp có thẩm quyền xử lý nghiêm </w:t>
      </w:r>
      <w:r w:rsidR="00A0336E" w:rsidRPr="00917E0F">
        <w:rPr>
          <w:spacing w:val="0"/>
        </w:rPr>
        <w:t>các tổ chức, cá nhân gây cản trở, trì trệ, thiếu trách nhiệm trong việc giao vốn và giải ngân vốn đầu tư công.</w:t>
      </w:r>
      <w:r w:rsidR="00A0336E" w:rsidRPr="00B00B50">
        <w:rPr>
          <w:spacing w:val="0"/>
        </w:rPr>
        <w:t xml:space="preserve"> </w:t>
      </w:r>
    </w:p>
    <w:p w:rsidR="001D5AF5" w:rsidRDefault="004473EA" w:rsidP="008A36BD">
      <w:pPr>
        <w:spacing w:after="0" w:line="271" w:lineRule="auto"/>
        <w:ind w:firstLine="720"/>
        <w:rPr>
          <w:spacing w:val="0"/>
        </w:rPr>
      </w:pPr>
      <w:r w:rsidRPr="00B00B50">
        <w:rPr>
          <w:spacing w:val="0"/>
        </w:rPr>
        <w:t>6</w:t>
      </w:r>
      <w:r w:rsidR="009E78F6" w:rsidRPr="00B00B50">
        <w:rPr>
          <w:spacing w:val="0"/>
        </w:rPr>
        <w:t>. Bộ trưởng, Thủ trưởng cơ quan thuộc Chính phủ và các</w:t>
      </w:r>
      <w:r w:rsidR="009E78F6" w:rsidRPr="009E78F6">
        <w:rPr>
          <w:spacing w:val="0"/>
        </w:rPr>
        <w:t xml:space="preserve"> cơ quan khác ở Trung ương, Chủ tịch Ủy ban nhân dân các tỉnh, thành phố trực thuộc Trung ương theo chức năng, nhiệm vụ được giao tập trung chỉ đạo, hướng dẫn, tổ chức triển khai thực hiệ</w:t>
      </w:r>
      <w:r w:rsidR="009C75BE">
        <w:rPr>
          <w:spacing w:val="0"/>
        </w:rPr>
        <w:t xml:space="preserve">n </w:t>
      </w:r>
      <w:r w:rsidR="009E78F6" w:rsidRPr="009E78F6">
        <w:rPr>
          <w:spacing w:val="0"/>
        </w:rPr>
        <w:t xml:space="preserve">các giải pháp trong </w:t>
      </w:r>
      <w:r w:rsidR="001855AF">
        <w:rPr>
          <w:spacing w:val="0"/>
        </w:rPr>
        <w:t xml:space="preserve">Nghị quyết </w:t>
      </w:r>
      <w:r w:rsidR="009E78F6" w:rsidRPr="009E78F6">
        <w:rPr>
          <w:spacing w:val="0"/>
        </w:rPr>
        <w:t>này nhằm kịp thời tháo gỡ khó khăn, vướng mắc trong quá trình giải ngân kế hoạch vốn đầu tư công năm 201</w:t>
      </w:r>
      <w:r w:rsidR="00AF0FA7">
        <w:rPr>
          <w:spacing w:val="0"/>
        </w:rPr>
        <w:t>9</w:t>
      </w:r>
      <w:r w:rsidR="009E78F6" w:rsidRPr="009E78F6">
        <w:rPr>
          <w:spacing w:val="0"/>
        </w:rPr>
        <w:t xml:space="preserve">. Bộ Kế hoạch và Đầu tư chủ trì, phối hợp với Bộ Tài chính theo dõi, đôn đốc, kiểm tra tình hình và kết quả triển khai thực hiện Nghị quyết; tổng hợp, báo cáo Thủ tướng Chính phủ việc triển khai thực hiện của các </w:t>
      </w:r>
      <w:r w:rsidR="00484A33">
        <w:rPr>
          <w:spacing w:val="0"/>
        </w:rPr>
        <w:t xml:space="preserve">bộ, </w:t>
      </w:r>
      <w:r w:rsidR="00B30021">
        <w:rPr>
          <w:spacing w:val="0"/>
        </w:rPr>
        <w:t>cơ quan trung ương</w:t>
      </w:r>
      <w:r w:rsidR="00484A33">
        <w:rPr>
          <w:spacing w:val="0"/>
        </w:rPr>
        <w:t xml:space="preserve"> và địa phương</w:t>
      </w:r>
      <w:r w:rsidR="009E78F6" w:rsidRPr="009E78F6">
        <w:rPr>
          <w:spacing w:val="0"/>
        </w:rPr>
        <w:t xml:space="preserve"> khi có yêu cầu</w:t>
      </w:r>
      <w:proofErr w:type="gramStart"/>
      <w:r w:rsidR="009E78F6" w:rsidRPr="009E78F6">
        <w:rPr>
          <w:spacing w:val="0"/>
        </w:rPr>
        <w:t>./</w:t>
      </w:r>
      <w:proofErr w:type="gramEnd"/>
      <w:r w:rsidR="009E78F6" w:rsidRPr="009E78F6">
        <w:rPr>
          <w:spacing w:val="0"/>
        </w:rPr>
        <w:t xml:space="preserve">. </w:t>
      </w:r>
    </w:p>
    <w:p w:rsidR="00CA27CF" w:rsidRDefault="00CA27CF" w:rsidP="008A36BD">
      <w:pPr>
        <w:spacing w:after="0" w:line="271" w:lineRule="auto"/>
        <w:ind w:firstLine="720"/>
        <w:rPr>
          <w:spacing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35"/>
      </w:tblGrid>
      <w:tr w:rsidR="001D5AF5" w:rsidTr="001D5AF5">
        <w:tc>
          <w:tcPr>
            <w:tcW w:w="5353" w:type="dxa"/>
          </w:tcPr>
          <w:p w:rsidR="001D5AF5" w:rsidRPr="001D5AF5" w:rsidRDefault="009E78F6" w:rsidP="001D5AF5">
            <w:pPr>
              <w:ind w:firstLine="0"/>
              <w:rPr>
                <w:b/>
                <w:i/>
                <w:spacing w:val="0"/>
                <w:sz w:val="24"/>
              </w:rPr>
            </w:pPr>
            <w:r w:rsidRPr="009E78F6">
              <w:rPr>
                <w:spacing w:val="0"/>
              </w:rPr>
              <w:t xml:space="preserve"> </w:t>
            </w:r>
            <w:r w:rsidR="001D5AF5" w:rsidRPr="001D5AF5">
              <w:rPr>
                <w:b/>
                <w:i/>
                <w:spacing w:val="0"/>
                <w:sz w:val="24"/>
              </w:rPr>
              <w:t>Nơi nhận:</w:t>
            </w:r>
          </w:p>
          <w:p w:rsidR="001D5AF5" w:rsidRDefault="001D5AF5" w:rsidP="001D5AF5">
            <w:pPr>
              <w:ind w:firstLine="0"/>
              <w:rPr>
                <w:spacing w:val="0"/>
                <w:sz w:val="22"/>
              </w:rPr>
            </w:pPr>
            <w:r>
              <w:rPr>
                <w:spacing w:val="0"/>
                <w:sz w:val="22"/>
              </w:rPr>
              <w:t>- Ban Bí thư Trung ương Đảng;</w:t>
            </w:r>
          </w:p>
          <w:p w:rsidR="001D5AF5" w:rsidRDefault="001D5AF5" w:rsidP="001D5AF5">
            <w:pPr>
              <w:ind w:firstLine="0"/>
              <w:rPr>
                <w:spacing w:val="0"/>
                <w:sz w:val="22"/>
              </w:rPr>
            </w:pPr>
            <w:r>
              <w:rPr>
                <w:spacing w:val="0"/>
                <w:sz w:val="22"/>
              </w:rPr>
              <w:t>- Thủ tướng, các Phó Thủ tướng Chính phủ;</w:t>
            </w:r>
          </w:p>
          <w:p w:rsidR="001D5AF5" w:rsidRDefault="001D5AF5" w:rsidP="001D5AF5">
            <w:pPr>
              <w:ind w:firstLine="0"/>
              <w:rPr>
                <w:spacing w:val="0"/>
                <w:sz w:val="22"/>
              </w:rPr>
            </w:pPr>
            <w:r>
              <w:rPr>
                <w:spacing w:val="0"/>
                <w:sz w:val="22"/>
              </w:rPr>
              <w:t>- Các Bộ, cơ quan ngang Bộ, cơ quan thuộc Chính phủ;</w:t>
            </w:r>
          </w:p>
          <w:p w:rsidR="001D5AF5" w:rsidRDefault="001D5AF5" w:rsidP="001D5AF5">
            <w:pPr>
              <w:ind w:firstLine="0"/>
              <w:rPr>
                <w:spacing w:val="0"/>
                <w:sz w:val="22"/>
              </w:rPr>
            </w:pPr>
            <w:r>
              <w:rPr>
                <w:spacing w:val="0"/>
                <w:sz w:val="22"/>
              </w:rPr>
              <w:t>- HĐND, UBND các tỉnh, thành phố trực thuộc TW;</w:t>
            </w:r>
          </w:p>
          <w:p w:rsidR="001D5AF5" w:rsidRDefault="001D5AF5" w:rsidP="001D5AF5">
            <w:pPr>
              <w:ind w:firstLine="0"/>
              <w:rPr>
                <w:spacing w:val="0"/>
                <w:sz w:val="22"/>
              </w:rPr>
            </w:pPr>
            <w:r>
              <w:rPr>
                <w:spacing w:val="0"/>
                <w:sz w:val="22"/>
              </w:rPr>
              <w:t>- Văn phòng Trung ương và các Ban của Đảng;</w:t>
            </w:r>
          </w:p>
          <w:p w:rsidR="001D5AF5" w:rsidRDefault="001D5AF5" w:rsidP="001D5AF5">
            <w:pPr>
              <w:ind w:firstLine="0"/>
              <w:rPr>
                <w:spacing w:val="0"/>
                <w:sz w:val="22"/>
              </w:rPr>
            </w:pPr>
            <w:r>
              <w:rPr>
                <w:spacing w:val="0"/>
                <w:sz w:val="22"/>
              </w:rPr>
              <w:t>- Văn phòng Tổng Bí thư;</w:t>
            </w:r>
          </w:p>
          <w:p w:rsidR="001D5AF5" w:rsidRDefault="001D5AF5" w:rsidP="001D5AF5">
            <w:pPr>
              <w:ind w:firstLine="0"/>
              <w:rPr>
                <w:spacing w:val="0"/>
                <w:sz w:val="22"/>
              </w:rPr>
            </w:pPr>
            <w:r>
              <w:rPr>
                <w:spacing w:val="0"/>
                <w:sz w:val="22"/>
              </w:rPr>
              <w:t>- Văn phòng Chủ tịch nước;</w:t>
            </w:r>
          </w:p>
          <w:p w:rsidR="001D5AF5" w:rsidRDefault="001D5AF5" w:rsidP="001D5AF5">
            <w:pPr>
              <w:ind w:firstLine="0"/>
              <w:rPr>
                <w:spacing w:val="0"/>
                <w:sz w:val="22"/>
              </w:rPr>
            </w:pPr>
            <w:r>
              <w:rPr>
                <w:spacing w:val="0"/>
                <w:sz w:val="22"/>
              </w:rPr>
              <w:t>- Tòa án nhân dân tối cao;</w:t>
            </w:r>
          </w:p>
          <w:p w:rsidR="001D5AF5" w:rsidRDefault="001D5AF5" w:rsidP="001D5AF5">
            <w:pPr>
              <w:ind w:firstLine="0"/>
              <w:rPr>
                <w:spacing w:val="0"/>
                <w:sz w:val="22"/>
              </w:rPr>
            </w:pPr>
            <w:r>
              <w:rPr>
                <w:spacing w:val="0"/>
                <w:sz w:val="22"/>
              </w:rPr>
              <w:t>- Viện Kiểm sát nhân dân tối cao;</w:t>
            </w:r>
          </w:p>
          <w:p w:rsidR="001D5AF5" w:rsidRDefault="001D5AF5" w:rsidP="001D5AF5">
            <w:pPr>
              <w:ind w:firstLine="0"/>
              <w:rPr>
                <w:spacing w:val="0"/>
                <w:sz w:val="22"/>
              </w:rPr>
            </w:pPr>
            <w:r>
              <w:rPr>
                <w:spacing w:val="0"/>
                <w:sz w:val="22"/>
              </w:rPr>
              <w:t>- Kiểm toán Nhà nước;</w:t>
            </w:r>
          </w:p>
          <w:p w:rsidR="001D5AF5" w:rsidRDefault="001D5AF5" w:rsidP="001D5AF5">
            <w:pPr>
              <w:ind w:firstLine="0"/>
              <w:rPr>
                <w:spacing w:val="0"/>
                <w:sz w:val="22"/>
              </w:rPr>
            </w:pPr>
            <w:r>
              <w:rPr>
                <w:spacing w:val="0"/>
                <w:sz w:val="22"/>
              </w:rPr>
              <w:t>- Ủy ban Giám sát tài chính Quốc gia;</w:t>
            </w:r>
          </w:p>
          <w:p w:rsidR="001D5AF5" w:rsidRDefault="001D5AF5" w:rsidP="001D5AF5">
            <w:pPr>
              <w:ind w:firstLine="0"/>
              <w:rPr>
                <w:spacing w:val="0"/>
                <w:sz w:val="22"/>
              </w:rPr>
            </w:pPr>
            <w:r>
              <w:rPr>
                <w:spacing w:val="0"/>
                <w:sz w:val="22"/>
              </w:rPr>
              <w:t>- Ủy ban Trung ương Mặt trận Tổ quốc Việt Nam;</w:t>
            </w:r>
          </w:p>
          <w:p w:rsidR="001D5AF5" w:rsidRDefault="001D5AF5" w:rsidP="001D5AF5">
            <w:pPr>
              <w:ind w:firstLine="0"/>
              <w:rPr>
                <w:spacing w:val="0"/>
                <w:sz w:val="22"/>
              </w:rPr>
            </w:pPr>
            <w:r>
              <w:rPr>
                <w:spacing w:val="0"/>
                <w:sz w:val="22"/>
              </w:rPr>
              <w:t>- Ngân hàng Phát triển Việt Nam;</w:t>
            </w:r>
          </w:p>
          <w:p w:rsidR="001D5AF5" w:rsidRDefault="001D5AF5" w:rsidP="001D5AF5">
            <w:pPr>
              <w:ind w:firstLine="0"/>
              <w:rPr>
                <w:spacing w:val="0"/>
                <w:sz w:val="22"/>
              </w:rPr>
            </w:pPr>
            <w:r>
              <w:rPr>
                <w:spacing w:val="0"/>
                <w:sz w:val="22"/>
              </w:rPr>
              <w:t>- Ngân hàng Chính sách xã hội;</w:t>
            </w:r>
          </w:p>
          <w:p w:rsidR="001D5AF5" w:rsidRDefault="001D5AF5" w:rsidP="001D5AF5">
            <w:pPr>
              <w:ind w:firstLine="0"/>
              <w:rPr>
                <w:spacing w:val="0"/>
                <w:sz w:val="22"/>
              </w:rPr>
            </w:pPr>
            <w:r>
              <w:rPr>
                <w:spacing w:val="0"/>
                <w:sz w:val="22"/>
              </w:rPr>
              <w:t>- Cơ quan Trung ương của các đoàn thể;</w:t>
            </w:r>
          </w:p>
          <w:p w:rsidR="001D5AF5" w:rsidRDefault="001D5AF5" w:rsidP="001D5AF5">
            <w:pPr>
              <w:ind w:firstLine="0"/>
              <w:rPr>
                <w:spacing w:val="0"/>
                <w:sz w:val="22"/>
              </w:rPr>
            </w:pPr>
            <w:r>
              <w:rPr>
                <w:spacing w:val="0"/>
                <w:sz w:val="22"/>
              </w:rPr>
              <w:t>- VPCP: BTCN, các PCN, Trợ lý TTg, TGĐ Cổng TTĐT,</w:t>
            </w:r>
          </w:p>
          <w:p w:rsidR="001D5AF5" w:rsidRDefault="001D5AF5" w:rsidP="001D5AF5">
            <w:pPr>
              <w:ind w:firstLine="0"/>
              <w:rPr>
                <w:spacing w:val="0"/>
                <w:sz w:val="22"/>
              </w:rPr>
            </w:pPr>
            <w:r>
              <w:rPr>
                <w:spacing w:val="0"/>
                <w:sz w:val="22"/>
              </w:rPr>
              <w:t xml:space="preserve">  các Vụ, Cục, đơn vị trực thuộc;</w:t>
            </w:r>
          </w:p>
          <w:p w:rsidR="001D5AF5" w:rsidRPr="001D5AF5" w:rsidRDefault="001D5AF5" w:rsidP="001D5AF5">
            <w:pPr>
              <w:ind w:firstLine="0"/>
              <w:rPr>
                <w:spacing w:val="0"/>
                <w:sz w:val="22"/>
              </w:rPr>
            </w:pPr>
            <w:r>
              <w:rPr>
                <w:spacing w:val="0"/>
                <w:sz w:val="22"/>
              </w:rPr>
              <w:t>- Lưu: VT, KTTH (3b).</w:t>
            </w:r>
          </w:p>
        </w:tc>
        <w:tc>
          <w:tcPr>
            <w:tcW w:w="3935" w:type="dxa"/>
          </w:tcPr>
          <w:p w:rsidR="001D5AF5" w:rsidRPr="001D5AF5" w:rsidRDefault="001D5AF5" w:rsidP="001D5AF5">
            <w:pPr>
              <w:ind w:firstLine="0"/>
              <w:jc w:val="center"/>
              <w:rPr>
                <w:b/>
                <w:spacing w:val="0"/>
              </w:rPr>
            </w:pPr>
            <w:r w:rsidRPr="001D5AF5">
              <w:rPr>
                <w:b/>
                <w:spacing w:val="0"/>
              </w:rPr>
              <w:t>TM. CHÍNH PHỦ</w:t>
            </w:r>
          </w:p>
          <w:p w:rsidR="001D5AF5" w:rsidRPr="001D5AF5" w:rsidRDefault="001D5AF5" w:rsidP="001D5AF5">
            <w:pPr>
              <w:ind w:firstLine="0"/>
              <w:jc w:val="center"/>
              <w:rPr>
                <w:b/>
                <w:spacing w:val="0"/>
              </w:rPr>
            </w:pPr>
            <w:r w:rsidRPr="001D5AF5">
              <w:rPr>
                <w:b/>
                <w:spacing w:val="0"/>
              </w:rPr>
              <w:t>THỦ TƯỚNG</w:t>
            </w:r>
          </w:p>
          <w:p w:rsidR="001D5AF5" w:rsidRPr="001D5AF5" w:rsidRDefault="001D5AF5" w:rsidP="001D5AF5">
            <w:pPr>
              <w:ind w:firstLine="0"/>
              <w:jc w:val="center"/>
              <w:rPr>
                <w:b/>
                <w:spacing w:val="0"/>
              </w:rPr>
            </w:pPr>
          </w:p>
          <w:p w:rsidR="001D5AF5" w:rsidRPr="001D5AF5" w:rsidRDefault="001D5AF5" w:rsidP="001D5AF5">
            <w:pPr>
              <w:ind w:firstLine="0"/>
              <w:jc w:val="center"/>
              <w:rPr>
                <w:b/>
                <w:spacing w:val="0"/>
              </w:rPr>
            </w:pPr>
          </w:p>
          <w:p w:rsidR="001D5AF5" w:rsidRDefault="001D5AF5" w:rsidP="001D5AF5">
            <w:pPr>
              <w:ind w:firstLine="0"/>
              <w:jc w:val="center"/>
              <w:rPr>
                <w:b/>
                <w:spacing w:val="0"/>
              </w:rPr>
            </w:pPr>
          </w:p>
          <w:p w:rsidR="006640CF" w:rsidRDefault="006640CF" w:rsidP="001D5AF5">
            <w:pPr>
              <w:ind w:firstLine="0"/>
              <w:jc w:val="center"/>
              <w:rPr>
                <w:b/>
                <w:spacing w:val="0"/>
              </w:rPr>
            </w:pPr>
          </w:p>
          <w:p w:rsidR="00880725" w:rsidRDefault="00880725" w:rsidP="001D5AF5">
            <w:pPr>
              <w:ind w:firstLine="0"/>
              <w:jc w:val="center"/>
              <w:rPr>
                <w:b/>
                <w:spacing w:val="0"/>
              </w:rPr>
            </w:pPr>
          </w:p>
          <w:p w:rsidR="006A7082" w:rsidRDefault="006A7082" w:rsidP="001D5AF5">
            <w:pPr>
              <w:ind w:firstLine="0"/>
              <w:jc w:val="center"/>
              <w:rPr>
                <w:b/>
                <w:spacing w:val="0"/>
              </w:rPr>
            </w:pPr>
          </w:p>
          <w:p w:rsidR="001D5AF5" w:rsidRDefault="001D5AF5" w:rsidP="001D5AF5">
            <w:pPr>
              <w:ind w:firstLine="0"/>
              <w:jc w:val="center"/>
              <w:rPr>
                <w:spacing w:val="0"/>
              </w:rPr>
            </w:pPr>
            <w:r w:rsidRPr="001D5AF5">
              <w:rPr>
                <w:b/>
                <w:spacing w:val="0"/>
              </w:rPr>
              <w:t>Nguyễn Xuân Phúc</w:t>
            </w:r>
          </w:p>
        </w:tc>
      </w:tr>
    </w:tbl>
    <w:p w:rsidR="001D5AF5" w:rsidRPr="007207FA" w:rsidRDefault="001D5AF5" w:rsidP="00FC3013">
      <w:pPr>
        <w:spacing w:line="288" w:lineRule="auto"/>
        <w:rPr>
          <w:spacing w:val="0"/>
        </w:rPr>
      </w:pPr>
    </w:p>
    <w:sectPr w:rsidR="001D5AF5" w:rsidRPr="007207FA" w:rsidSect="00906A0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6A" w:rsidRDefault="0087676A" w:rsidP="009F4BA1">
      <w:pPr>
        <w:spacing w:before="0" w:after="0" w:line="240" w:lineRule="auto"/>
      </w:pPr>
      <w:r>
        <w:separator/>
      </w:r>
    </w:p>
  </w:endnote>
  <w:endnote w:type="continuationSeparator" w:id="0">
    <w:p w:rsidR="0087676A" w:rsidRDefault="0087676A" w:rsidP="009F4B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0A" w:rsidRDefault="00C64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454974"/>
      <w:docPartObj>
        <w:docPartGallery w:val="Page Numbers (Bottom of Page)"/>
        <w:docPartUnique/>
      </w:docPartObj>
    </w:sdtPr>
    <w:sdtEndPr>
      <w:rPr>
        <w:noProof/>
      </w:rPr>
    </w:sdtEndPr>
    <w:sdtContent>
      <w:p w:rsidR="007E0743" w:rsidRDefault="00C81915" w:rsidP="00C64C0A">
        <w:pPr>
          <w:pStyle w:val="Footer"/>
          <w:jc w:val="right"/>
        </w:pPr>
        <w:r>
          <w:fldChar w:fldCharType="begin"/>
        </w:r>
        <w:r>
          <w:instrText xml:space="preserve"> PAGE   \* MERGEFORMAT </w:instrText>
        </w:r>
        <w:r>
          <w:fldChar w:fldCharType="separate"/>
        </w:r>
        <w:r w:rsidR="00F650E9">
          <w:rPr>
            <w:noProof/>
          </w:rPr>
          <w:t>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0A" w:rsidRDefault="00C64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6A" w:rsidRDefault="0087676A" w:rsidP="009F4BA1">
      <w:pPr>
        <w:spacing w:before="0" w:after="0" w:line="240" w:lineRule="auto"/>
      </w:pPr>
      <w:r>
        <w:separator/>
      </w:r>
    </w:p>
  </w:footnote>
  <w:footnote w:type="continuationSeparator" w:id="0">
    <w:p w:rsidR="0087676A" w:rsidRDefault="0087676A" w:rsidP="009F4BA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0A" w:rsidRDefault="00C64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0A" w:rsidRDefault="00C64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0A" w:rsidRDefault="00C64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38"/>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FA"/>
    <w:rsid w:val="00020A12"/>
    <w:rsid w:val="00022144"/>
    <w:rsid w:val="00022A20"/>
    <w:rsid w:val="0005199B"/>
    <w:rsid w:val="0005723C"/>
    <w:rsid w:val="00072800"/>
    <w:rsid w:val="000735A0"/>
    <w:rsid w:val="000827CE"/>
    <w:rsid w:val="00082B10"/>
    <w:rsid w:val="000849D6"/>
    <w:rsid w:val="00092289"/>
    <w:rsid w:val="000977E6"/>
    <w:rsid w:val="000A11C4"/>
    <w:rsid w:val="000A1A12"/>
    <w:rsid w:val="000B5ABD"/>
    <w:rsid w:val="000D26B4"/>
    <w:rsid w:val="000D37AF"/>
    <w:rsid w:val="000E1439"/>
    <w:rsid w:val="000E2441"/>
    <w:rsid w:val="000E6A38"/>
    <w:rsid w:val="000F30B3"/>
    <w:rsid w:val="00101393"/>
    <w:rsid w:val="00102606"/>
    <w:rsid w:val="00107664"/>
    <w:rsid w:val="00107970"/>
    <w:rsid w:val="00110EED"/>
    <w:rsid w:val="00111816"/>
    <w:rsid w:val="00115130"/>
    <w:rsid w:val="00116923"/>
    <w:rsid w:val="00133F92"/>
    <w:rsid w:val="001345C2"/>
    <w:rsid w:val="0013512A"/>
    <w:rsid w:val="00141997"/>
    <w:rsid w:val="00143F33"/>
    <w:rsid w:val="00145162"/>
    <w:rsid w:val="001608AF"/>
    <w:rsid w:val="00164713"/>
    <w:rsid w:val="00183485"/>
    <w:rsid w:val="001855AF"/>
    <w:rsid w:val="001902F4"/>
    <w:rsid w:val="00191EC6"/>
    <w:rsid w:val="001921FD"/>
    <w:rsid w:val="00194714"/>
    <w:rsid w:val="001A054B"/>
    <w:rsid w:val="001A1A0A"/>
    <w:rsid w:val="001A2DDF"/>
    <w:rsid w:val="001A3969"/>
    <w:rsid w:val="001A57BD"/>
    <w:rsid w:val="001B65BE"/>
    <w:rsid w:val="001C2AC9"/>
    <w:rsid w:val="001D5AF5"/>
    <w:rsid w:val="001D6844"/>
    <w:rsid w:val="001F2A30"/>
    <w:rsid w:val="00200027"/>
    <w:rsid w:val="00204DFA"/>
    <w:rsid w:val="002062D7"/>
    <w:rsid w:val="00224539"/>
    <w:rsid w:val="002365D7"/>
    <w:rsid w:val="002433A5"/>
    <w:rsid w:val="00243F76"/>
    <w:rsid w:val="00253AE0"/>
    <w:rsid w:val="002659AE"/>
    <w:rsid w:val="00275FA4"/>
    <w:rsid w:val="00281F06"/>
    <w:rsid w:val="0028306B"/>
    <w:rsid w:val="0029680A"/>
    <w:rsid w:val="002A6C91"/>
    <w:rsid w:val="002B6FDE"/>
    <w:rsid w:val="002C00B8"/>
    <w:rsid w:val="002C4B30"/>
    <w:rsid w:val="002C717C"/>
    <w:rsid w:val="002F40BC"/>
    <w:rsid w:val="002F45C7"/>
    <w:rsid w:val="002F557C"/>
    <w:rsid w:val="00304D97"/>
    <w:rsid w:val="0031092B"/>
    <w:rsid w:val="00320CEF"/>
    <w:rsid w:val="0032369E"/>
    <w:rsid w:val="003516EE"/>
    <w:rsid w:val="0036082B"/>
    <w:rsid w:val="0036645B"/>
    <w:rsid w:val="00375149"/>
    <w:rsid w:val="003E0426"/>
    <w:rsid w:val="003E0D48"/>
    <w:rsid w:val="003E3E2C"/>
    <w:rsid w:val="00421B10"/>
    <w:rsid w:val="00423428"/>
    <w:rsid w:val="00424C8F"/>
    <w:rsid w:val="004401B6"/>
    <w:rsid w:val="004439C9"/>
    <w:rsid w:val="004473EA"/>
    <w:rsid w:val="0045375F"/>
    <w:rsid w:val="00457983"/>
    <w:rsid w:val="00484A33"/>
    <w:rsid w:val="0049298C"/>
    <w:rsid w:val="00496A30"/>
    <w:rsid w:val="0049787B"/>
    <w:rsid w:val="004A2B0B"/>
    <w:rsid w:val="004B684D"/>
    <w:rsid w:val="004B6A90"/>
    <w:rsid w:val="004C3AF1"/>
    <w:rsid w:val="004C7585"/>
    <w:rsid w:val="004D079B"/>
    <w:rsid w:val="004D2C38"/>
    <w:rsid w:val="004D77E7"/>
    <w:rsid w:val="005015FA"/>
    <w:rsid w:val="00504D9A"/>
    <w:rsid w:val="00520C37"/>
    <w:rsid w:val="00522354"/>
    <w:rsid w:val="00527EBE"/>
    <w:rsid w:val="00530DF4"/>
    <w:rsid w:val="00531E3B"/>
    <w:rsid w:val="00532464"/>
    <w:rsid w:val="005439CD"/>
    <w:rsid w:val="00551391"/>
    <w:rsid w:val="005529F2"/>
    <w:rsid w:val="00553859"/>
    <w:rsid w:val="00560336"/>
    <w:rsid w:val="005643EE"/>
    <w:rsid w:val="005649BA"/>
    <w:rsid w:val="005724F1"/>
    <w:rsid w:val="005739DB"/>
    <w:rsid w:val="0057658E"/>
    <w:rsid w:val="005779EF"/>
    <w:rsid w:val="00585E7A"/>
    <w:rsid w:val="005864CE"/>
    <w:rsid w:val="00591B6C"/>
    <w:rsid w:val="00594B49"/>
    <w:rsid w:val="00595E24"/>
    <w:rsid w:val="00596E2D"/>
    <w:rsid w:val="005A165C"/>
    <w:rsid w:val="005A2A3A"/>
    <w:rsid w:val="005A2AD3"/>
    <w:rsid w:val="005B63D9"/>
    <w:rsid w:val="006068D7"/>
    <w:rsid w:val="00610AFB"/>
    <w:rsid w:val="0062202E"/>
    <w:rsid w:val="006310C6"/>
    <w:rsid w:val="006324B3"/>
    <w:rsid w:val="00632869"/>
    <w:rsid w:val="00633030"/>
    <w:rsid w:val="00634C92"/>
    <w:rsid w:val="00634DCE"/>
    <w:rsid w:val="00642D99"/>
    <w:rsid w:val="00644FF0"/>
    <w:rsid w:val="00654112"/>
    <w:rsid w:val="00660A57"/>
    <w:rsid w:val="00663E7F"/>
    <w:rsid w:val="006640CF"/>
    <w:rsid w:val="006669A9"/>
    <w:rsid w:val="00680700"/>
    <w:rsid w:val="00691DBA"/>
    <w:rsid w:val="00693CA9"/>
    <w:rsid w:val="00695A48"/>
    <w:rsid w:val="0069754E"/>
    <w:rsid w:val="006A2C42"/>
    <w:rsid w:val="006A4640"/>
    <w:rsid w:val="006A7003"/>
    <w:rsid w:val="006A7082"/>
    <w:rsid w:val="006B290D"/>
    <w:rsid w:val="006C0F81"/>
    <w:rsid w:val="006C64A3"/>
    <w:rsid w:val="006C6B57"/>
    <w:rsid w:val="006C79DA"/>
    <w:rsid w:val="006D2755"/>
    <w:rsid w:val="006D596B"/>
    <w:rsid w:val="006F7B79"/>
    <w:rsid w:val="00700DFD"/>
    <w:rsid w:val="00710114"/>
    <w:rsid w:val="007207FA"/>
    <w:rsid w:val="0074414B"/>
    <w:rsid w:val="0075227B"/>
    <w:rsid w:val="007572F7"/>
    <w:rsid w:val="0076615C"/>
    <w:rsid w:val="007661F0"/>
    <w:rsid w:val="007A5D19"/>
    <w:rsid w:val="007A72FC"/>
    <w:rsid w:val="007B58CF"/>
    <w:rsid w:val="007B7F8A"/>
    <w:rsid w:val="007C7F84"/>
    <w:rsid w:val="007D1347"/>
    <w:rsid w:val="007E0743"/>
    <w:rsid w:val="00804304"/>
    <w:rsid w:val="00810D97"/>
    <w:rsid w:val="008176B7"/>
    <w:rsid w:val="00821F22"/>
    <w:rsid w:val="00834FEE"/>
    <w:rsid w:val="008372F3"/>
    <w:rsid w:val="00850FB8"/>
    <w:rsid w:val="00853C83"/>
    <w:rsid w:val="00862640"/>
    <w:rsid w:val="00873140"/>
    <w:rsid w:val="0087574E"/>
    <w:rsid w:val="0087676A"/>
    <w:rsid w:val="008776EA"/>
    <w:rsid w:val="00880725"/>
    <w:rsid w:val="00882E82"/>
    <w:rsid w:val="008852D4"/>
    <w:rsid w:val="00890A3A"/>
    <w:rsid w:val="00892E05"/>
    <w:rsid w:val="00893D49"/>
    <w:rsid w:val="008949B2"/>
    <w:rsid w:val="008A18D2"/>
    <w:rsid w:val="008A27C8"/>
    <w:rsid w:val="008A36BD"/>
    <w:rsid w:val="008B0C33"/>
    <w:rsid w:val="008D7588"/>
    <w:rsid w:val="008F1612"/>
    <w:rsid w:val="008F4174"/>
    <w:rsid w:val="008F4C04"/>
    <w:rsid w:val="008F510F"/>
    <w:rsid w:val="00903850"/>
    <w:rsid w:val="00906A0D"/>
    <w:rsid w:val="00907F93"/>
    <w:rsid w:val="00912964"/>
    <w:rsid w:val="00917E0F"/>
    <w:rsid w:val="00920EAB"/>
    <w:rsid w:val="00922B2B"/>
    <w:rsid w:val="009457C7"/>
    <w:rsid w:val="00955611"/>
    <w:rsid w:val="009622F5"/>
    <w:rsid w:val="0096634A"/>
    <w:rsid w:val="009819DD"/>
    <w:rsid w:val="0098270D"/>
    <w:rsid w:val="00982C09"/>
    <w:rsid w:val="00982D6D"/>
    <w:rsid w:val="00984C94"/>
    <w:rsid w:val="009879A9"/>
    <w:rsid w:val="00990A18"/>
    <w:rsid w:val="00993DE9"/>
    <w:rsid w:val="00994005"/>
    <w:rsid w:val="00997F47"/>
    <w:rsid w:val="009B2DB4"/>
    <w:rsid w:val="009C6466"/>
    <w:rsid w:val="009C75BE"/>
    <w:rsid w:val="009D3420"/>
    <w:rsid w:val="009D5F6C"/>
    <w:rsid w:val="009D5F80"/>
    <w:rsid w:val="009E2AD0"/>
    <w:rsid w:val="009E2B33"/>
    <w:rsid w:val="009E78F6"/>
    <w:rsid w:val="009F10AF"/>
    <w:rsid w:val="009F4BA1"/>
    <w:rsid w:val="009F4F4B"/>
    <w:rsid w:val="00A01F08"/>
    <w:rsid w:val="00A0336E"/>
    <w:rsid w:val="00A13E72"/>
    <w:rsid w:val="00A1638B"/>
    <w:rsid w:val="00A203F1"/>
    <w:rsid w:val="00A2192F"/>
    <w:rsid w:val="00A2647C"/>
    <w:rsid w:val="00A27BC6"/>
    <w:rsid w:val="00A33974"/>
    <w:rsid w:val="00A356ED"/>
    <w:rsid w:val="00A54E8E"/>
    <w:rsid w:val="00A63984"/>
    <w:rsid w:val="00A7368B"/>
    <w:rsid w:val="00A75378"/>
    <w:rsid w:val="00A75D04"/>
    <w:rsid w:val="00A7600C"/>
    <w:rsid w:val="00A76BBE"/>
    <w:rsid w:val="00A81377"/>
    <w:rsid w:val="00A85A62"/>
    <w:rsid w:val="00A8765D"/>
    <w:rsid w:val="00A911E2"/>
    <w:rsid w:val="00A93BE9"/>
    <w:rsid w:val="00AA7ED2"/>
    <w:rsid w:val="00AA7FF3"/>
    <w:rsid w:val="00AB264B"/>
    <w:rsid w:val="00AC3154"/>
    <w:rsid w:val="00AD08CE"/>
    <w:rsid w:val="00AE22AC"/>
    <w:rsid w:val="00AE2AB9"/>
    <w:rsid w:val="00AE77E1"/>
    <w:rsid w:val="00AF0FA7"/>
    <w:rsid w:val="00AF2163"/>
    <w:rsid w:val="00AF3DEF"/>
    <w:rsid w:val="00B00B50"/>
    <w:rsid w:val="00B1326A"/>
    <w:rsid w:val="00B30021"/>
    <w:rsid w:val="00B3523B"/>
    <w:rsid w:val="00B5599D"/>
    <w:rsid w:val="00B62D3D"/>
    <w:rsid w:val="00B6356B"/>
    <w:rsid w:val="00B6476F"/>
    <w:rsid w:val="00B7481F"/>
    <w:rsid w:val="00B86A7F"/>
    <w:rsid w:val="00B92D3E"/>
    <w:rsid w:val="00BA0293"/>
    <w:rsid w:val="00BA036F"/>
    <w:rsid w:val="00BB172A"/>
    <w:rsid w:val="00BD0C79"/>
    <w:rsid w:val="00BD23F4"/>
    <w:rsid w:val="00BE5D2E"/>
    <w:rsid w:val="00BE7323"/>
    <w:rsid w:val="00BF2B92"/>
    <w:rsid w:val="00C02BC3"/>
    <w:rsid w:val="00C1147C"/>
    <w:rsid w:val="00C12429"/>
    <w:rsid w:val="00C17754"/>
    <w:rsid w:val="00C2045C"/>
    <w:rsid w:val="00C229C9"/>
    <w:rsid w:val="00C249FD"/>
    <w:rsid w:val="00C278DF"/>
    <w:rsid w:val="00C34D3F"/>
    <w:rsid w:val="00C361D3"/>
    <w:rsid w:val="00C45DD4"/>
    <w:rsid w:val="00C4693C"/>
    <w:rsid w:val="00C47B8D"/>
    <w:rsid w:val="00C53680"/>
    <w:rsid w:val="00C64C0A"/>
    <w:rsid w:val="00C70CAD"/>
    <w:rsid w:val="00C81915"/>
    <w:rsid w:val="00C835BD"/>
    <w:rsid w:val="00C840CC"/>
    <w:rsid w:val="00C920C5"/>
    <w:rsid w:val="00C92276"/>
    <w:rsid w:val="00CA19F0"/>
    <w:rsid w:val="00CA27CF"/>
    <w:rsid w:val="00D03C45"/>
    <w:rsid w:val="00D0481E"/>
    <w:rsid w:val="00D05324"/>
    <w:rsid w:val="00D06E61"/>
    <w:rsid w:val="00D10936"/>
    <w:rsid w:val="00D14B2F"/>
    <w:rsid w:val="00D349F5"/>
    <w:rsid w:val="00D3692A"/>
    <w:rsid w:val="00D64275"/>
    <w:rsid w:val="00D66519"/>
    <w:rsid w:val="00D81DE3"/>
    <w:rsid w:val="00D848B2"/>
    <w:rsid w:val="00D902A9"/>
    <w:rsid w:val="00D925F0"/>
    <w:rsid w:val="00D962FA"/>
    <w:rsid w:val="00DA209C"/>
    <w:rsid w:val="00DB0842"/>
    <w:rsid w:val="00DB5A01"/>
    <w:rsid w:val="00DB5A85"/>
    <w:rsid w:val="00DC0B98"/>
    <w:rsid w:val="00DC79D9"/>
    <w:rsid w:val="00DC7FC1"/>
    <w:rsid w:val="00DD022D"/>
    <w:rsid w:val="00DD6CF8"/>
    <w:rsid w:val="00DF357D"/>
    <w:rsid w:val="00DF5FAC"/>
    <w:rsid w:val="00E025AB"/>
    <w:rsid w:val="00E04CD3"/>
    <w:rsid w:val="00E07E2C"/>
    <w:rsid w:val="00E111DB"/>
    <w:rsid w:val="00E22AF4"/>
    <w:rsid w:val="00E52F78"/>
    <w:rsid w:val="00E5369C"/>
    <w:rsid w:val="00E53988"/>
    <w:rsid w:val="00E55B50"/>
    <w:rsid w:val="00E62BC0"/>
    <w:rsid w:val="00E62E61"/>
    <w:rsid w:val="00E77D09"/>
    <w:rsid w:val="00E876BD"/>
    <w:rsid w:val="00E87F2A"/>
    <w:rsid w:val="00EA0A57"/>
    <w:rsid w:val="00EA677C"/>
    <w:rsid w:val="00EC0156"/>
    <w:rsid w:val="00EE15A1"/>
    <w:rsid w:val="00EE5C98"/>
    <w:rsid w:val="00EF3EC9"/>
    <w:rsid w:val="00EF579A"/>
    <w:rsid w:val="00F0471E"/>
    <w:rsid w:val="00F07864"/>
    <w:rsid w:val="00F07B22"/>
    <w:rsid w:val="00F11F46"/>
    <w:rsid w:val="00F13263"/>
    <w:rsid w:val="00F135D9"/>
    <w:rsid w:val="00F206BB"/>
    <w:rsid w:val="00F245A7"/>
    <w:rsid w:val="00F25AA8"/>
    <w:rsid w:val="00F27383"/>
    <w:rsid w:val="00F27C0C"/>
    <w:rsid w:val="00F30A78"/>
    <w:rsid w:val="00F325A5"/>
    <w:rsid w:val="00F43480"/>
    <w:rsid w:val="00F448E1"/>
    <w:rsid w:val="00F4528E"/>
    <w:rsid w:val="00F47FD1"/>
    <w:rsid w:val="00F611FC"/>
    <w:rsid w:val="00F650E9"/>
    <w:rsid w:val="00F678BF"/>
    <w:rsid w:val="00F6795E"/>
    <w:rsid w:val="00F749F9"/>
    <w:rsid w:val="00F75D83"/>
    <w:rsid w:val="00F838EE"/>
    <w:rsid w:val="00F91394"/>
    <w:rsid w:val="00F92461"/>
    <w:rsid w:val="00FC3013"/>
    <w:rsid w:val="00FC44B9"/>
    <w:rsid w:val="00FD16DF"/>
    <w:rsid w:val="00FE2F1E"/>
    <w:rsid w:val="00FF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pacing w:val="-4"/>
        <w:sz w:val="28"/>
        <w:szCs w:val="22"/>
        <w:lang w:val="en-US" w:eastAsia="en-US" w:bidi="ar-SA"/>
      </w:rPr>
    </w:rPrDefault>
    <w:pPrDefault>
      <w:pPr>
        <w:spacing w:before="120" w:after="120" w:line="264"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7F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fn,ft,ft1"/>
    <w:basedOn w:val="Normal"/>
    <w:link w:val="FootnoteTextChar"/>
    <w:qFormat/>
    <w:rsid w:val="009F4BA1"/>
    <w:pPr>
      <w:spacing w:before="0" w:after="0" w:line="240" w:lineRule="auto"/>
      <w:ind w:firstLine="0"/>
      <w:jc w:val="left"/>
    </w:pPr>
    <w:rPr>
      <w:rFonts w:ascii=".VnTime" w:eastAsia="Times New Roman" w:hAnsi=".VnTime" w:cs="Times New Roman"/>
      <w:spacing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ft1 Char"/>
    <w:basedOn w:val="DefaultParagraphFont"/>
    <w:link w:val="FootnoteText"/>
    <w:rsid w:val="009F4BA1"/>
    <w:rPr>
      <w:rFonts w:ascii=".VnTime" w:eastAsia="Times New Roman" w:hAnsi=".VnTime" w:cs="Times New Roman"/>
      <w:spacing w:val="0"/>
      <w:sz w:val="20"/>
      <w:szCs w:val="20"/>
    </w:rPr>
  </w:style>
  <w:style w:type="character" w:styleId="FootnoteReference">
    <w:name w:val="footnote reference"/>
    <w:aliases w:val="Footnote,Footnote text,ftref,16 Point,Superscript 6 Point,fr,(NECG) Footnote Reference,BearingPoint,Footnote Text1,Ref,de nota al pie,Footnote + Arial,10 pt,Black,Footnote Text11,BVI fnr,f"/>
    <w:qFormat/>
    <w:rsid w:val="009F4BA1"/>
    <w:rPr>
      <w:vertAlign w:val="superscript"/>
    </w:rPr>
  </w:style>
  <w:style w:type="paragraph" w:styleId="NormalWeb">
    <w:name w:val="Normal (Web)"/>
    <w:basedOn w:val="Normal"/>
    <w:uiPriority w:val="99"/>
    <w:semiHidden/>
    <w:unhideWhenUsed/>
    <w:rsid w:val="00AE77E1"/>
    <w:pPr>
      <w:spacing w:before="100" w:beforeAutospacing="1" w:after="100" w:afterAutospacing="1" w:line="240" w:lineRule="auto"/>
      <w:ind w:firstLine="0"/>
      <w:jc w:val="left"/>
    </w:pPr>
    <w:rPr>
      <w:rFonts w:eastAsia="Times New Roman" w:cs="Times New Roman"/>
      <w:spacing w:val="0"/>
      <w:sz w:val="24"/>
      <w:szCs w:val="24"/>
    </w:rPr>
  </w:style>
  <w:style w:type="character" w:customStyle="1" w:styleId="apple-converted-space">
    <w:name w:val="apple-converted-space"/>
    <w:basedOn w:val="DefaultParagraphFont"/>
    <w:rsid w:val="00AE77E1"/>
  </w:style>
  <w:style w:type="paragraph" w:styleId="BalloonText">
    <w:name w:val="Balloon Text"/>
    <w:basedOn w:val="Normal"/>
    <w:link w:val="BalloonTextChar"/>
    <w:uiPriority w:val="99"/>
    <w:semiHidden/>
    <w:unhideWhenUsed/>
    <w:rsid w:val="00F30A7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78"/>
    <w:rPr>
      <w:rFonts w:ascii="Tahoma" w:hAnsi="Tahoma" w:cs="Tahoma"/>
      <w:sz w:val="16"/>
      <w:szCs w:val="16"/>
    </w:rPr>
  </w:style>
  <w:style w:type="paragraph" w:styleId="Header">
    <w:name w:val="header"/>
    <w:basedOn w:val="Normal"/>
    <w:link w:val="HeaderChar"/>
    <w:uiPriority w:val="99"/>
    <w:unhideWhenUsed/>
    <w:rsid w:val="003236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369E"/>
  </w:style>
  <w:style w:type="paragraph" w:styleId="Footer">
    <w:name w:val="footer"/>
    <w:basedOn w:val="Normal"/>
    <w:link w:val="FooterChar"/>
    <w:uiPriority w:val="99"/>
    <w:unhideWhenUsed/>
    <w:rsid w:val="0032369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369E"/>
  </w:style>
  <w:style w:type="paragraph" w:styleId="ListParagraph">
    <w:name w:val="List Paragraph"/>
    <w:basedOn w:val="Normal"/>
    <w:uiPriority w:val="34"/>
    <w:qFormat/>
    <w:rsid w:val="00204DFA"/>
    <w:pPr>
      <w:ind w:left="720"/>
      <w:contextualSpacing/>
    </w:pPr>
  </w:style>
  <w:style w:type="character" w:styleId="Hyperlink">
    <w:name w:val="Hyperlink"/>
    <w:basedOn w:val="DefaultParagraphFont"/>
    <w:uiPriority w:val="99"/>
    <w:unhideWhenUsed/>
    <w:rsid w:val="005A2A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pacing w:val="-4"/>
        <w:sz w:val="28"/>
        <w:szCs w:val="22"/>
        <w:lang w:val="en-US" w:eastAsia="en-US" w:bidi="ar-SA"/>
      </w:rPr>
    </w:rPrDefault>
    <w:pPrDefault>
      <w:pPr>
        <w:spacing w:before="120" w:after="120" w:line="264"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7F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fn,ft,ft1"/>
    <w:basedOn w:val="Normal"/>
    <w:link w:val="FootnoteTextChar"/>
    <w:qFormat/>
    <w:rsid w:val="009F4BA1"/>
    <w:pPr>
      <w:spacing w:before="0" w:after="0" w:line="240" w:lineRule="auto"/>
      <w:ind w:firstLine="0"/>
      <w:jc w:val="left"/>
    </w:pPr>
    <w:rPr>
      <w:rFonts w:ascii=".VnTime" w:eastAsia="Times New Roman" w:hAnsi=".VnTime" w:cs="Times New Roman"/>
      <w:spacing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ft1 Char"/>
    <w:basedOn w:val="DefaultParagraphFont"/>
    <w:link w:val="FootnoteText"/>
    <w:rsid w:val="009F4BA1"/>
    <w:rPr>
      <w:rFonts w:ascii=".VnTime" w:eastAsia="Times New Roman" w:hAnsi=".VnTime" w:cs="Times New Roman"/>
      <w:spacing w:val="0"/>
      <w:sz w:val="20"/>
      <w:szCs w:val="20"/>
    </w:rPr>
  </w:style>
  <w:style w:type="character" w:styleId="FootnoteReference">
    <w:name w:val="footnote reference"/>
    <w:aliases w:val="Footnote,Footnote text,ftref,16 Point,Superscript 6 Point,fr,(NECG) Footnote Reference,BearingPoint,Footnote Text1,Ref,de nota al pie,Footnote + Arial,10 pt,Black,Footnote Text11,BVI fnr,f"/>
    <w:qFormat/>
    <w:rsid w:val="009F4BA1"/>
    <w:rPr>
      <w:vertAlign w:val="superscript"/>
    </w:rPr>
  </w:style>
  <w:style w:type="paragraph" w:styleId="NormalWeb">
    <w:name w:val="Normal (Web)"/>
    <w:basedOn w:val="Normal"/>
    <w:uiPriority w:val="99"/>
    <w:semiHidden/>
    <w:unhideWhenUsed/>
    <w:rsid w:val="00AE77E1"/>
    <w:pPr>
      <w:spacing w:before="100" w:beforeAutospacing="1" w:after="100" w:afterAutospacing="1" w:line="240" w:lineRule="auto"/>
      <w:ind w:firstLine="0"/>
      <w:jc w:val="left"/>
    </w:pPr>
    <w:rPr>
      <w:rFonts w:eastAsia="Times New Roman" w:cs="Times New Roman"/>
      <w:spacing w:val="0"/>
      <w:sz w:val="24"/>
      <w:szCs w:val="24"/>
    </w:rPr>
  </w:style>
  <w:style w:type="character" w:customStyle="1" w:styleId="apple-converted-space">
    <w:name w:val="apple-converted-space"/>
    <w:basedOn w:val="DefaultParagraphFont"/>
    <w:rsid w:val="00AE77E1"/>
  </w:style>
  <w:style w:type="paragraph" w:styleId="BalloonText">
    <w:name w:val="Balloon Text"/>
    <w:basedOn w:val="Normal"/>
    <w:link w:val="BalloonTextChar"/>
    <w:uiPriority w:val="99"/>
    <w:semiHidden/>
    <w:unhideWhenUsed/>
    <w:rsid w:val="00F30A7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78"/>
    <w:rPr>
      <w:rFonts w:ascii="Tahoma" w:hAnsi="Tahoma" w:cs="Tahoma"/>
      <w:sz w:val="16"/>
      <w:szCs w:val="16"/>
    </w:rPr>
  </w:style>
  <w:style w:type="paragraph" w:styleId="Header">
    <w:name w:val="header"/>
    <w:basedOn w:val="Normal"/>
    <w:link w:val="HeaderChar"/>
    <w:uiPriority w:val="99"/>
    <w:unhideWhenUsed/>
    <w:rsid w:val="003236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369E"/>
  </w:style>
  <w:style w:type="paragraph" w:styleId="Footer">
    <w:name w:val="footer"/>
    <w:basedOn w:val="Normal"/>
    <w:link w:val="FooterChar"/>
    <w:uiPriority w:val="99"/>
    <w:unhideWhenUsed/>
    <w:rsid w:val="0032369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369E"/>
  </w:style>
  <w:style w:type="paragraph" w:styleId="ListParagraph">
    <w:name w:val="List Paragraph"/>
    <w:basedOn w:val="Normal"/>
    <w:uiPriority w:val="34"/>
    <w:qFormat/>
    <w:rsid w:val="00204DFA"/>
    <w:pPr>
      <w:ind w:left="720"/>
      <w:contextualSpacing/>
    </w:pPr>
  </w:style>
  <w:style w:type="character" w:styleId="Hyperlink">
    <w:name w:val="Hyperlink"/>
    <w:basedOn w:val="DefaultParagraphFont"/>
    <w:uiPriority w:val="99"/>
    <w:unhideWhenUsed/>
    <w:rsid w:val="005A2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830">
      <w:bodyDiv w:val="1"/>
      <w:marLeft w:val="0"/>
      <w:marRight w:val="0"/>
      <w:marTop w:val="0"/>
      <w:marBottom w:val="0"/>
      <w:divBdr>
        <w:top w:val="none" w:sz="0" w:space="0" w:color="auto"/>
        <w:left w:val="none" w:sz="0" w:space="0" w:color="auto"/>
        <w:bottom w:val="none" w:sz="0" w:space="0" w:color="auto"/>
        <w:right w:val="none" w:sz="0" w:space="0" w:color="auto"/>
      </w:divBdr>
    </w:div>
    <w:div w:id="119498612">
      <w:bodyDiv w:val="1"/>
      <w:marLeft w:val="0"/>
      <w:marRight w:val="0"/>
      <w:marTop w:val="0"/>
      <w:marBottom w:val="0"/>
      <w:divBdr>
        <w:top w:val="none" w:sz="0" w:space="0" w:color="auto"/>
        <w:left w:val="none" w:sz="0" w:space="0" w:color="auto"/>
        <w:bottom w:val="none" w:sz="0" w:space="0" w:color="auto"/>
        <w:right w:val="none" w:sz="0" w:space="0" w:color="auto"/>
      </w:divBdr>
    </w:div>
    <w:div w:id="546381510">
      <w:bodyDiv w:val="1"/>
      <w:marLeft w:val="0"/>
      <w:marRight w:val="0"/>
      <w:marTop w:val="0"/>
      <w:marBottom w:val="0"/>
      <w:divBdr>
        <w:top w:val="none" w:sz="0" w:space="0" w:color="auto"/>
        <w:left w:val="none" w:sz="0" w:space="0" w:color="auto"/>
        <w:bottom w:val="none" w:sz="0" w:space="0" w:color="auto"/>
        <w:right w:val="none" w:sz="0" w:space="0" w:color="auto"/>
      </w:divBdr>
    </w:div>
    <w:div w:id="904218463">
      <w:bodyDiv w:val="1"/>
      <w:marLeft w:val="0"/>
      <w:marRight w:val="0"/>
      <w:marTop w:val="0"/>
      <w:marBottom w:val="0"/>
      <w:divBdr>
        <w:top w:val="none" w:sz="0" w:space="0" w:color="auto"/>
        <w:left w:val="none" w:sz="0" w:space="0" w:color="auto"/>
        <w:bottom w:val="none" w:sz="0" w:space="0" w:color="auto"/>
        <w:right w:val="none" w:sz="0" w:space="0" w:color="auto"/>
      </w:divBdr>
    </w:div>
    <w:div w:id="983853573">
      <w:bodyDiv w:val="1"/>
      <w:marLeft w:val="0"/>
      <w:marRight w:val="0"/>
      <w:marTop w:val="0"/>
      <w:marBottom w:val="0"/>
      <w:divBdr>
        <w:top w:val="none" w:sz="0" w:space="0" w:color="auto"/>
        <w:left w:val="none" w:sz="0" w:space="0" w:color="auto"/>
        <w:bottom w:val="none" w:sz="0" w:space="0" w:color="auto"/>
        <w:right w:val="none" w:sz="0" w:space="0" w:color="auto"/>
      </w:divBdr>
    </w:div>
    <w:div w:id="20246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C10F-B22A-4B20-A942-59CD8385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NK</cp:lastModifiedBy>
  <cp:revision>8</cp:revision>
  <cp:lastPrinted>2019-09-23T02:04:00Z</cp:lastPrinted>
  <dcterms:created xsi:type="dcterms:W3CDTF">2019-09-23T00:26:00Z</dcterms:created>
  <dcterms:modified xsi:type="dcterms:W3CDTF">2019-09-24T07:40:00Z</dcterms:modified>
</cp:coreProperties>
</file>