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29" w:rsidRDefault="004F0329" w:rsidP="004F0329">
      <w:pPr>
        <w:jc w:val="center"/>
        <w:rPr>
          <w:b/>
        </w:rPr>
      </w:pPr>
      <w:r w:rsidRPr="002B1243">
        <w:rPr>
          <w:b/>
        </w:rPr>
        <w:t>PHỤ LỤ</w:t>
      </w:r>
      <w:r>
        <w:rPr>
          <w:b/>
        </w:rPr>
        <w:t>C III</w:t>
      </w:r>
    </w:p>
    <w:p w:rsidR="004F0329" w:rsidRDefault="004F0329" w:rsidP="004F0329">
      <w:pPr>
        <w:jc w:val="center"/>
        <w:rPr>
          <w:b/>
        </w:rPr>
      </w:pPr>
      <w:r>
        <w:rPr>
          <w:b/>
        </w:rPr>
        <w:t>THỐNG KẾ MỘT SỐ KẾT QUẢ THỰC HIỆN CHƯƠNG TRÌNH HÀNH ĐỘNG 09</w:t>
      </w:r>
    </w:p>
    <w:p w:rsidR="004F0329" w:rsidRDefault="00B7224E" w:rsidP="003218D8">
      <w:pPr>
        <w:spacing w:before="120"/>
        <w:jc w:val="center"/>
        <w:rPr>
          <w:b/>
          <w:iCs/>
          <w:sz w:val="26"/>
          <w:szCs w:val="26"/>
        </w:rPr>
      </w:pPr>
      <w:r>
        <w:rPr>
          <w:b/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3399721</wp:posOffset>
                </wp:positionH>
                <wp:positionV relativeFrom="paragraph">
                  <wp:posOffset>57974</wp:posOffset>
                </wp:positionV>
                <wp:extent cx="1779373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937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7pt,4.55pt" to="407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" strokecolor="black [3213]"/>
            </w:pict>
          </mc:Fallback>
        </mc:AlternateContent>
      </w:r>
    </w:p>
    <w:tbl>
      <w:tblPr>
        <w:tblStyle w:val="TableGrid"/>
        <w:tblW w:w="4882" w:type="pct"/>
        <w:tblLook w:val="04A0" w:firstRow="1" w:lastRow="0" w:firstColumn="1" w:lastColumn="0" w:noHBand="0" w:noVBand="1"/>
      </w:tblPr>
      <w:tblGrid>
        <w:gridCol w:w="801"/>
        <w:gridCol w:w="5267"/>
        <w:gridCol w:w="1453"/>
        <w:gridCol w:w="1266"/>
        <w:gridCol w:w="1328"/>
        <w:gridCol w:w="1328"/>
        <w:gridCol w:w="1742"/>
      </w:tblGrid>
      <w:tr w:rsidR="006B20AD" w:rsidRPr="00A81897" w:rsidTr="00356B84">
        <w:trPr>
          <w:tblHeader/>
        </w:trPr>
        <w:tc>
          <w:tcPr>
            <w:tcW w:w="781" w:type="dxa"/>
            <w:vMerge w:val="restart"/>
            <w:shd w:val="clear" w:color="auto" w:fill="D9D9D9" w:themeFill="background1" w:themeFillShade="D9"/>
          </w:tcPr>
          <w:p w:rsidR="006B20AD" w:rsidRPr="00A81897" w:rsidRDefault="006B20AD" w:rsidP="00527C91">
            <w:pPr>
              <w:spacing w:before="60" w:after="60"/>
              <w:jc w:val="center"/>
              <w:rPr>
                <w:b/>
                <w:bCs/>
                <w:sz w:val="25"/>
                <w:szCs w:val="25"/>
              </w:rPr>
            </w:pPr>
            <w:r w:rsidRPr="00A81897">
              <w:rPr>
                <w:b/>
                <w:bCs/>
                <w:sz w:val="25"/>
                <w:szCs w:val="25"/>
              </w:rPr>
              <w:t>STT</w:t>
            </w:r>
          </w:p>
        </w:tc>
        <w:tc>
          <w:tcPr>
            <w:tcW w:w="5139" w:type="dxa"/>
            <w:vMerge w:val="restart"/>
            <w:shd w:val="clear" w:color="auto" w:fill="D9D9D9" w:themeFill="background1" w:themeFillShade="D9"/>
          </w:tcPr>
          <w:p w:rsidR="006B20AD" w:rsidRPr="004D0663" w:rsidRDefault="006B20AD" w:rsidP="004D0663">
            <w:pPr>
              <w:spacing w:before="60" w:after="60"/>
              <w:jc w:val="center"/>
              <w:rPr>
                <w:b/>
                <w:bCs/>
                <w:sz w:val="25"/>
                <w:szCs w:val="25"/>
              </w:rPr>
            </w:pPr>
            <w:r w:rsidRPr="00A81897">
              <w:rPr>
                <w:b/>
                <w:bCs/>
                <w:sz w:val="25"/>
                <w:szCs w:val="25"/>
              </w:rPr>
              <w:t>Chỉ tiêu thống kê</w:t>
            </w:r>
          </w:p>
        </w:tc>
        <w:tc>
          <w:tcPr>
            <w:tcW w:w="5245" w:type="dxa"/>
            <w:gridSpan w:val="4"/>
            <w:shd w:val="clear" w:color="auto" w:fill="D9D9D9" w:themeFill="background1" w:themeFillShade="D9"/>
          </w:tcPr>
          <w:p w:rsidR="006B20AD" w:rsidRPr="00A81897" w:rsidRDefault="006B20AD" w:rsidP="00527C91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A81897">
              <w:rPr>
                <w:b/>
                <w:bCs/>
                <w:sz w:val="25"/>
                <w:szCs w:val="25"/>
              </w:rPr>
              <w:t>Kết quả thống kê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6B20AD" w:rsidRPr="00A81897" w:rsidRDefault="006B20AD" w:rsidP="00527C91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A81897">
              <w:rPr>
                <w:b/>
                <w:bCs/>
                <w:sz w:val="26"/>
                <w:szCs w:val="26"/>
              </w:rPr>
              <w:t>Ghi chú</w:t>
            </w:r>
          </w:p>
        </w:tc>
      </w:tr>
      <w:tr w:rsidR="006B20AD" w:rsidRPr="00A81897" w:rsidTr="00E03DBC">
        <w:trPr>
          <w:trHeight w:val="158"/>
          <w:tblHeader/>
        </w:trPr>
        <w:tc>
          <w:tcPr>
            <w:tcW w:w="781" w:type="dxa"/>
            <w:vMerge/>
            <w:shd w:val="clear" w:color="auto" w:fill="D9D9D9" w:themeFill="background1" w:themeFillShade="D9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139" w:type="dxa"/>
            <w:vMerge/>
            <w:shd w:val="clear" w:color="auto" w:fill="D9D9D9" w:themeFill="background1" w:themeFillShade="D9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6B20AD" w:rsidRPr="00A81897" w:rsidRDefault="006B20AD" w:rsidP="00527C91">
            <w:pPr>
              <w:spacing w:before="60" w:after="60"/>
              <w:jc w:val="center"/>
              <w:rPr>
                <w:b/>
                <w:bCs/>
                <w:sz w:val="25"/>
                <w:szCs w:val="25"/>
              </w:rPr>
            </w:pPr>
            <w:r w:rsidRPr="00A81897">
              <w:rPr>
                <w:b/>
                <w:bCs/>
                <w:sz w:val="25"/>
                <w:szCs w:val="25"/>
              </w:rPr>
              <w:t>Đơn vị tính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:rsidR="006B20AD" w:rsidRPr="00A81897" w:rsidRDefault="006B20AD" w:rsidP="00527C91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A81897">
              <w:rPr>
                <w:b/>
                <w:bCs/>
                <w:sz w:val="25"/>
                <w:szCs w:val="25"/>
              </w:rPr>
              <w:t>Số liệu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6B20AD" w:rsidRPr="00A81897" w:rsidRDefault="006B20AD" w:rsidP="00527C91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</w:tcPr>
          <w:p w:rsidR="006B20AD" w:rsidRPr="006B20AD" w:rsidRDefault="006B20AD" w:rsidP="006B20AD">
            <w:pPr>
              <w:spacing w:before="80" w:after="80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80" w:after="80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6B20AD" w:rsidRPr="00A81897" w:rsidRDefault="006B20AD" w:rsidP="00527C91">
            <w:pPr>
              <w:spacing w:before="80" w:after="80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35" w:type="dxa"/>
            <w:vAlign w:val="center"/>
          </w:tcPr>
          <w:p w:rsidR="006B20AD" w:rsidRPr="00557DA8" w:rsidRDefault="006B20AD" w:rsidP="00527C91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2021</w:t>
            </w:r>
          </w:p>
        </w:tc>
        <w:tc>
          <w:tcPr>
            <w:tcW w:w="1296" w:type="dxa"/>
          </w:tcPr>
          <w:p w:rsidR="006B20AD" w:rsidRPr="00A81897" w:rsidRDefault="006B20AD" w:rsidP="00B7224E">
            <w:pPr>
              <w:spacing w:before="80" w:after="8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2022</w:t>
            </w:r>
          </w:p>
        </w:tc>
        <w:tc>
          <w:tcPr>
            <w:tcW w:w="1296" w:type="dxa"/>
          </w:tcPr>
          <w:p w:rsidR="006B20AD" w:rsidRPr="00A81897" w:rsidRDefault="006B20AD" w:rsidP="00BF05DF">
            <w:pPr>
              <w:spacing w:before="80" w:after="8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2023</w:t>
            </w:r>
          </w:p>
        </w:tc>
        <w:tc>
          <w:tcPr>
            <w:tcW w:w="1700" w:type="dxa"/>
          </w:tcPr>
          <w:p w:rsidR="006B20AD" w:rsidRPr="00A81897" w:rsidRDefault="006B20AD" w:rsidP="00527C91">
            <w:pPr>
              <w:spacing w:before="80" w:after="80"/>
              <w:rPr>
                <w:b/>
                <w:bCs/>
                <w:sz w:val="26"/>
                <w:szCs w:val="26"/>
              </w:rPr>
            </w:pPr>
          </w:p>
        </w:tc>
      </w:tr>
      <w:tr w:rsidR="006B20AD" w:rsidRPr="00A81897" w:rsidTr="00E03DBC">
        <w:trPr>
          <w:trHeight w:val="383"/>
        </w:trPr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 w:rsidRPr="00356B84">
              <w:rPr>
                <w:b/>
                <w:bCs/>
                <w:sz w:val="25"/>
                <w:szCs w:val="25"/>
              </w:rPr>
              <w:t>1</w:t>
            </w:r>
          </w:p>
        </w:tc>
        <w:tc>
          <w:tcPr>
            <w:tcW w:w="5139" w:type="dxa"/>
          </w:tcPr>
          <w:p w:rsidR="006B20AD" w:rsidRPr="00A81897" w:rsidRDefault="006B20AD" w:rsidP="006B20AD">
            <w:pPr>
              <w:spacing w:before="80" w:after="80"/>
              <w:rPr>
                <w:b/>
                <w:bCs/>
                <w:sz w:val="25"/>
                <w:szCs w:val="25"/>
              </w:rPr>
            </w:pPr>
            <w:r w:rsidRPr="00A81897">
              <w:rPr>
                <w:b/>
                <w:bCs/>
                <w:sz w:val="25"/>
                <w:szCs w:val="25"/>
              </w:rPr>
              <w:t>Số v</w:t>
            </w:r>
            <w:r>
              <w:rPr>
                <w:b/>
                <w:bCs/>
                <w:sz w:val="25"/>
                <w:szCs w:val="25"/>
              </w:rPr>
              <w:t>ăn bản chỉ đạo CCHC đã ban hành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 w:rsidRPr="00A81897">
              <w:rPr>
                <w:b/>
                <w:bCs/>
                <w:sz w:val="25"/>
                <w:szCs w:val="25"/>
              </w:rPr>
              <w:t>Văn bản</w:t>
            </w:r>
          </w:p>
        </w:tc>
        <w:tc>
          <w:tcPr>
            <w:tcW w:w="1235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15</w:t>
            </w: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 w:rsidRPr="00557DA8">
              <w:rPr>
                <w:b/>
                <w:bCs/>
                <w:sz w:val="25"/>
                <w:szCs w:val="25"/>
              </w:rPr>
              <w:t>90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65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2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80" w:after="80"/>
              <w:rPr>
                <w:b/>
                <w:sz w:val="25"/>
                <w:szCs w:val="25"/>
              </w:rPr>
            </w:pPr>
            <w:r w:rsidRPr="00A81897">
              <w:rPr>
                <w:b/>
                <w:sz w:val="25"/>
                <w:szCs w:val="25"/>
              </w:rPr>
              <w:t>Kiểm tra CCHC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235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b/>
                <w:sz w:val="26"/>
                <w:szCs w:val="26"/>
              </w:rPr>
            </w:pPr>
          </w:p>
        </w:tc>
      </w:tr>
      <w:tr w:rsidR="006B20AD" w:rsidRPr="00A81897" w:rsidTr="00B7224E">
        <w:trPr>
          <w:hidden/>
        </w:trPr>
        <w:tc>
          <w:tcPr>
            <w:tcW w:w="781" w:type="dxa"/>
            <w:vAlign w:val="center"/>
          </w:tcPr>
          <w:p w:rsidR="006B20AD" w:rsidRPr="00356B84" w:rsidRDefault="006B20AD" w:rsidP="00356B84">
            <w:pPr>
              <w:pStyle w:val="ListParagraph"/>
              <w:numPr>
                <w:ilvl w:val="0"/>
                <w:numId w:val="2"/>
              </w:numPr>
              <w:spacing w:before="80" w:after="80"/>
              <w:jc w:val="center"/>
              <w:rPr>
                <w:b/>
                <w:vanish/>
                <w:sz w:val="25"/>
                <w:szCs w:val="25"/>
              </w:rPr>
            </w:pPr>
          </w:p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  <w:vAlign w:val="center"/>
          </w:tcPr>
          <w:p w:rsidR="006B20AD" w:rsidRPr="00E03DBC" w:rsidRDefault="006B20AD" w:rsidP="00B7224E">
            <w:pPr>
              <w:spacing w:before="80" w:after="80"/>
            </w:pPr>
            <w:r w:rsidRPr="00E03DBC">
              <w:t>Số sở, ngành đã kiểm tra</w:t>
            </w:r>
          </w:p>
        </w:tc>
        <w:tc>
          <w:tcPr>
            <w:tcW w:w="1418" w:type="dxa"/>
          </w:tcPr>
          <w:p w:rsidR="006B20AD" w:rsidRPr="00E03DBC" w:rsidRDefault="006B20AD" w:rsidP="003946D2">
            <w:pPr>
              <w:spacing w:before="80" w:after="80"/>
              <w:jc w:val="center"/>
            </w:pPr>
            <w:r w:rsidRPr="00E03DBC">
              <w:t>Cơ quan, đơn vị</w:t>
            </w:r>
          </w:p>
        </w:tc>
        <w:tc>
          <w:tcPr>
            <w:tcW w:w="1235" w:type="dxa"/>
            <w:vAlign w:val="center"/>
          </w:tcPr>
          <w:p w:rsidR="006B20AD" w:rsidRPr="00EC1E46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  <w:tc>
          <w:tcPr>
            <w:tcW w:w="1296" w:type="dxa"/>
            <w:vAlign w:val="center"/>
          </w:tcPr>
          <w:p w:rsidR="006B20AD" w:rsidRPr="00EC1E46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  <w:r w:rsidRPr="00EC1E46">
              <w:rPr>
                <w:sz w:val="25"/>
                <w:szCs w:val="25"/>
              </w:rPr>
              <w:t>3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  <w:lang w:val="vi-VN"/>
              </w:rPr>
            </w:pPr>
          </w:p>
        </w:tc>
      </w:tr>
      <w:tr w:rsidR="006B20AD" w:rsidRPr="00A81897" w:rsidTr="00B7224E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  <w:vAlign w:val="center"/>
          </w:tcPr>
          <w:p w:rsidR="006B20AD" w:rsidRPr="00E03DBC" w:rsidRDefault="006B20AD" w:rsidP="00B7224E">
            <w:pPr>
              <w:spacing w:before="80" w:after="80"/>
            </w:pPr>
            <w:r w:rsidRPr="00E03DBC">
              <w:t>Số UBND cấp huyện đã kiểm tra</w:t>
            </w:r>
          </w:p>
        </w:tc>
        <w:tc>
          <w:tcPr>
            <w:tcW w:w="1418" w:type="dxa"/>
          </w:tcPr>
          <w:p w:rsidR="006B20AD" w:rsidRPr="00E03DBC" w:rsidRDefault="006B20AD" w:rsidP="003946D2">
            <w:pPr>
              <w:spacing w:before="80" w:after="80"/>
              <w:jc w:val="center"/>
            </w:pPr>
            <w:r w:rsidRPr="00E03DBC">
              <w:t>Cơ quan, đơn vị</w:t>
            </w:r>
          </w:p>
        </w:tc>
        <w:tc>
          <w:tcPr>
            <w:tcW w:w="1235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  <w:r w:rsidRPr="00557DA8">
              <w:rPr>
                <w:sz w:val="25"/>
                <w:szCs w:val="25"/>
              </w:rPr>
              <w:t>6</w:t>
            </w:r>
          </w:p>
        </w:tc>
        <w:tc>
          <w:tcPr>
            <w:tcW w:w="1296" w:type="dxa"/>
          </w:tcPr>
          <w:p w:rsidR="006B20AD" w:rsidRPr="00A81897" w:rsidRDefault="00BF05DF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8124D1" w:rsidRPr="00A81897" w:rsidTr="00356B84">
        <w:tc>
          <w:tcPr>
            <w:tcW w:w="781" w:type="dxa"/>
            <w:vAlign w:val="center"/>
          </w:tcPr>
          <w:p w:rsidR="008124D1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3</w:t>
            </w:r>
          </w:p>
        </w:tc>
        <w:tc>
          <w:tcPr>
            <w:tcW w:w="5139" w:type="dxa"/>
          </w:tcPr>
          <w:p w:rsidR="008124D1" w:rsidRPr="00F52390" w:rsidRDefault="008124D1" w:rsidP="00527C91">
            <w:pPr>
              <w:spacing w:before="80" w:after="80"/>
              <w:rPr>
                <w:b/>
                <w:sz w:val="25"/>
                <w:szCs w:val="25"/>
              </w:rPr>
            </w:pPr>
            <w:r w:rsidRPr="00F52390">
              <w:rPr>
                <w:b/>
                <w:sz w:val="26"/>
                <w:szCs w:val="26"/>
              </w:rPr>
              <w:t>Số VBQPPL đã ban hành</w:t>
            </w:r>
          </w:p>
        </w:tc>
        <w:tc>
          <w:tcPr>
            <w:tcW w:w="1418" w:type="dxa"/>
          </w:tcPr>
          <w:p w:rsidR="008124D1" w:rsidRPr="00A81897" w:rsidRDefault="008124D1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35" w:type="dxa"/>
            <w:vAlign w:val="center"/>
          </w:tcPr>
          <w:p w:rsidR="008124D1" w:rsidRDefault="008124D1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  <w:vAlign w:val="center"/>
          </w:tcPr>
          <w:p w:rsidR="008124D1" w:rsidRPr="00557DA8" w:rsidRDefault="008124D1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</w:tcPr>
          <w:p w:rsidR="008124D1" w:rsidRPr="00A81897" w:rsidRDefault="008124D1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8124D1" w:rsidRPr="00A81897" w:rsidRDefault="008124D1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A81897" w:rsidRDefault="00F374E3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C</w:t>
            </w:r>
            <w:r w:rsidR="006B20AD" w:rsidRPr="00A81897">
              <w:rPr>
                <w:sz w:val="26"/>
                <w:szCs w:val="26"/>
              </w:rPr>
              <w:t>ấp tỉnh ban hành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Văn bản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111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A81897" w:rsidRDefault="00F374E3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C</w:t>
            </w:r>
            <w:r w:rsidR="006B20AD" w:rsidRPr="00A81897">
              <w:rPr>
                <w:sz w:val="26"/>
                <w:szCs w:val="26"/>
              </w:rPr>
              <w:t>ấp huyện ban hành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Văn bản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67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A81897" w:rsidRDefault="00F374E3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C</w:t>
            </w:r>
            <w:r w:rsidR="006B20AD" w:rsidRPr="00A81897">
              <w:rPr>
                <w:sz w:val="26"/>
                <w:szCs w:val="26"/>
              </w:rPr>
              <w:t>ấp xã ban hành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Văn bản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4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80" w:after="80"/>
              <w:rPr>
                <w:sz w:val="25"/>
                <w:szCs w:val="25"/>
              </w:rPr>
            </w:pPr>
            <w:r w:rsidRPr="00A81897">
              <w:rPr>
                <w:b/>
                <w:sz w:val="26"/>
                <w:szCs w:val="26"/>
              </w:rPr>
              <w:t>Thống kê TTHC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35" w:type="dxa"/>
            <w:vAlign w:val="center"/>
          </w:tcPr>
          <w:p w:rsidR="006B20AD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Số TTHC đã được phê duyệt phương án đơn giản hóa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37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Số TTHC công bố mới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126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Số TTHC bãi bỏ, thay thế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104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Tổng số TTHC thuộc thẩm quyền giải quyết tại địa phương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 xml:space="preserve">Số TTHC cấp tỉnh (Bao gồm cả TTHC của cơ </w:t>
            </w:r>
            <w:r w:rsidRPr="00A81897">
              <w:rPr>
                <w:i/>
                <w:sz w:val="26"/>
                <w:szCs w:val="26"/>
              </w:rPr>
              <w:lastRenderedPageBreak/>
              <w:t>quan ngành dọc)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lastRenderedPageBreak/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1510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t>1551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1547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lastRenderedPageBreak/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TTHC cấp huyện (Bao gồm cả TTHC của cơ quan ngành dọc)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391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t>383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TTHC cấp xã (Bao gồm cả TTHC của cơ quan ngành dọc)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169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t>170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5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sz w:val="26"/>
                <w:szCs w:val="26"/>
              </w:rPr>
            </w:pPr>
            <w:r w:rsidRPr="00A81897">
              <w:rPr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Số TTHC liên thông cùng cấp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395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289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Thủ tục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175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6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sz w:val="26"/>
                <w:szCs w:val="26"/>
              </w:rPr>
            </w:pPr>
            <w:r w:rsidRPr="00A81897">
              <w:rPr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Tỷ lệ hồ sơ TTHC do các sở, ngành tiếp nhận được giải quyết đúng hạn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%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96,52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99,95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99,97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B00F5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 xml:space="preserve">Tỷ lệ hồ sơ TTHC do </w:t>
            </w:r>
            <w:r>
              <w:rPr>
                <w:sz w:val="26"/>
                <w:szCs w:val="26"/>
              </w:rPr>
              <w:t xml:space="preserve">cấp huyện </w:t>
            </w:r>
            <w:r w:rsidRPr="00A81897">
              <w:rPr>
                <w:sz w:val="26"/>
                <w:szCs w:val="26"/>
              </w:rPr>
              <w:t>tiếp nhận được giải quyết đúng hạn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35" w:type="dxa"/>
          </w:tcPr>
          <w:p w:rsidR="006B20AD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</w:pPr>
          </w:p>
        </w:tc>
        <w:tc>
          <w:tcPr>
            <w:tcW w:w="1296" w:type="dxa"/>
          </w:tcPr>
          <w:p w:rsidR="006B20AD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99,85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%</w:t>
            </w:r>
          </w:p>
        </w:tc>
        <w:tc>
          <w:tcPr>
            <w:tcW w:w="1235" w:type="dxa"/>
          </w:tcPr>
          <w:p w:rsidR="006B20AD" w:rsidRPr="00955120" w:rsidRDefault="006B20AD" w:rsidP="003946D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99,68</w:t>
            </w:r>
          </w:p>
        </w:tc>
        <w:tc>
          <w:tcPr>
            <w:tcW w:w="1296" w:type="dxa"/>
          </w:tcPr>
          <w:p w:rsidR="006B20AD" w:rsidRPr="00955120" w:rsidRDefault="006B20AD" w:rsidP="003946D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955120">
              <w:rPr>
                <w:b/>
              </w:rPr>
              <w:t>99,67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7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b/>
                <w:sz w:val="23"/>
                <w:szCs w:val="23"/>
              </w:rPr>
            </w:pPr>
            <w:r w:rsidRPr="001A6763">
              <w:rPr>
                <w:b/>
                <w:sz w:val="23"/>
                <w:szCs w:val="23"/>
              </w:rPr>
              <w:t>Sắp xếp, kiện toàn tổ chức bộ máy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35" w:type="dxa"/>
          </w:tcPr>
          <w:p w:rsidR="006B20AD" w:rsidRPr="001A6763" w:rsidRDefault="006B20AD" w:rsidP="003946D2">
            <w:pPr>
              <w:spacing w:before="2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Tỷ lệ sở, ngành đã hoàn thành việc sắp xếp các phòng chuyên môn đáp ứng các tiêu chí theo quy định của Chính phủ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%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  <w:r w:rsidRPr="001A6763">
              <w:rPr>
                <w:sz w:val="23"/>
                <w:szCs w:val="23"/>
              </w:rPr>
              <w:t>100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Tỷ lệ UBND cấp huyện đã hoàn thành việc sắp xếp các phòng chuyên môn đáp ứng các tiêu chí theo quy định của Chính phủ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%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  <w:r w:rsidRPr="001A6763">
              <w:rPr>
                <w:sz w:val="23"/>
                <w:szCs w:val="23"/>
              </w:rPr>
              <w:t>100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Số lượng các ban quản lý trực thuộc UBND cấp tỉnh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Ban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3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lastRenderedPageBreak/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Tổng số đơn vị sự nghiệp công lập (ĐVSNCL) tại địa phương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Cơ quan, đơn vị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753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733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Số ĐVSNCL thuộc UBND tỉnh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Cơ quan, đơn vị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8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7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Số ĐVSNCL thuộc sở, ngành và tương đương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Cơ quan, đơn vị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76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125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Số ĐVSNCL thuộc UBND cấp huyện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Cơ quan, đơn vị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669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  <w:r w:rsidRPr="001A6763">
              <w:rPr>
                <w:i/>
                <w:iCs/>
                <w:sz w:val="23"/>
                <w:szCs w:val="23"/>
              </w:rPr>
              <w:t>601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921BF1" w:rsidRDefault="006B20AD" w:rsidP="00527C91">
            <w:pPr>
              <w:spacing w:before="20"/>
              <w:rPr>
                <w:i/>
                <w:iCs/>
                <w:sz w:val="26"/>
                <w:szCs w:val="26"/>
              </w:rPr>
            </w:pPr>
            <w:r w:rsidRPr="00921BF1">
              <w:rPr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418" w:type="dxa"/>
          </w:tcPr>
          <w:p w:rsidR="006B20AD" w:rsidRPr="00921BF1" w:rsidRDefault="006B20AD" w:rsidP="003946D2">
            <w:pPr>
              <w:spacing w:before="20"/>
              <w:jc w:val="center"/>
              <w:rPr>
                <w:i/>
                <w:iCs/>
              </w:rPr>
            </w:pPr>
            <w:r w:rsidRPr="00921BF1">
              <w:rPr>
                <w:i/>
                <w:iCs/>
              </w:rPr>
              <w:t>%</w:t>
            </w:r>
          </w:p>
        </w:tc>
        <w:tc>
          <w:tcPr>
            <w:tcW w:w="1235" w:type="dxa"/>
            <w:vAlign w:val="center"/>
          </w:tcPr>
          <w:p w:rsidR="006B20AD" w:rsidRPr="00F62869" w:rsidRDefault="006B20AD" w:rsidP="003946D2">
            <w:pPr>
              <w:spacing w:before="20"/>
              <w:jc w:val="center"/>
              <w:rPr>
                <w:iCs/>
              </w:rPr>
            </w:pP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1296" w:type="dxa"/>
          </w:tcPr>
          <w:p w:rsidR="006B20AD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iCs/>
              </w:rPr>
              <w:t>17,41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8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b/>
                <w:sz w:val="23"/>
                <w:szCs w:val="23"/>
              </w:rPr>
            </w:pPr>
            <w:r w:rsidRPr="001A6763">
              <w:rPr>
                <w:b/>
                <w:sz w:val="23"/>
                <w:szCs w:val="23"/>
              </w:rPr>
              <w:t>Số liệu về biên chế công chức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Tổng số biên chế được giao trong năm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Người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2205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2.205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2187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Tổng số biên chế có mặt tại thời điểm báo cáo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Người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2170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2.052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Số hợp đồng lao động làm việc tại các cơ quan, tổ chức hành chính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Người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159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159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Tỷ lệ phần trăm biên chế đã tinh giản so với năm 2015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%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  <w:r w:rsidRPr="001A6763">
              <w:rPr>
                <w:sz w:val="23"/>
                <w:szCs w:val="23"/>
              </w:rPr>
              <w:t>10,2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9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b/>
                <w:sz w:val="23"/>
                <w:szCs w:val="23"/>
              </w:rPr>
            </w:pPr>
            <w:r w:rsidRPr="001A6763">
              <w:rPr>
                <w:b/>
                <w:sz w:val="23"/>
                <w:szCs w:val="23"/>
              </w:rPr>
              <w:t>Số người làm việc hưởng lương từ NSNN tại các đơn vị sự nghiệp công lập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96" w:type="dxa"/>
            <w:vAlign w:val="center"/>
          </w:tcPr>
          <w:p w:rsidR="006B20AD" w:rsidRPr="00557DA8" w:rsidRDefault="006B20AD" w:rsidP="003946D2">
            <w:pPr>
              <w:spacing w:before="80"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Tổng số người làm việc được giao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Người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27.020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26.479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25.938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Tổng số người làm việc có mặt tại thời điểm báo cáo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Người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26.411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24.285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24.285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Số người đã tinh giản trong kỳ báo cáo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Người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687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541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1A6763" w:rsidRDefault="006B20AD" w:rsidP="00527C91">
            <w:pPr>
              <w:spacing w:before="20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Tỷ lệ % đã tinh giản so với năm 2015</w:t>
            </w:r>
          </w:p>
        </w:tc>
        <w:tc>
          <w:tcPr>
            <w:tcW w:w="1418" w:type="dxa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%</w:t>
            </w:r>
          </w:p>
        </w:tc>
        <w:tc>
          <w:tcPr>
            <w:tcW w:w="1235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10,00</w:t>
            </w: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  <w:r w:rsidRPr="001A6763">
              <w:rPr>
                <w:sz w:val="23"/>
                <w:szCs w:val="23"/>
              </w:rPr>
              <w:t>11,82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10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sz w:val="26"/>
                <w:szCs w:val="26"/>
              </w:rPr>
            </w:pPr>
            <w:r w:rsidRPr="00A81897">
              <w:rPr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A81897">
              <w:rPr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A81897">
              <w:rPr>
                <w:b/>
                <w:bCs/>
                <w:sz w:val="26"/>
                <w:szCs w:val="26"/>
                <w:lang w:val="vi-VN"/>
              </w:rPr>
              <w:t>42,14%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Kế hoạch được giao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Triệu đồng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19.614.898</w:t>
            </w:r>
          </w:p>
        </w:tc>
        <w:tc>
          <w:tcPr>
            <w:tcW w:w="1296" w:type="dxa"/>
            <w:vAlign w:val="center"/>
          </w:tcPr>
          <w:p w:rsidR="006B20AD" w:rsidRPr="0096503D" w:rsidRDefault="006B20AD" w:rsidP="003946D2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96503D">
              <w:rPr>
                <w:color w:val="000000" w:themeColor="text1"/>
                <w:szCs w:val="28"/>
              </w:rPr>
              <w:t>17.609.049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Đã thực hiện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Triệu đồng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12.207.074</w:t>
            </w:r>
          </w:p>
        </w:tc>
        <w:tc>
          <w:tcPr>
            <w:tcW w:w="1296" w:type="dxa"/>
            <w:vAlign w:val="center"/>
          </w:tcPr>
          <w:p w:rsidR="006B20AD" w:rsidRPr="0096503D" w:rsidRDefault="006B20AD" w:rsidP="003946D2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96503D">
              <w:rPr>
                <w:color w:val="000000" w:themeColor="text1"/>
                <w:szCs w:val="28"/>
              </w:rPr>
              <w:t>4.213.910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11</w:t>
            </w:r>
          </w:p>
        </w:tc>
        <w:tc>
          <w:tcPr>
            <w:tcW w:w="5139" w:type="dxa"/>
          </w:tcPr>
          <w:p w:rsidR="006B20AD" w:rsidRPr="00A81897" w:rsidRDefault="006B20AD" w:rsidP="00F374E3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b/>
                <w:bCs/>
                <w:sz w:val="26"/>
                <w:szCs w:val="26"/>
              </w:rPr>
              <w:t xml:space="preserve">Thực hiện tự chủ tài chính của đơn vị sự nghiệp (ĐVSN) tại địa 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Tổng số ĐVSN công lập tại địa phương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A81897" w:rsidRDefault="00F374E3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t>733</w:t>
            </w:r>
          </w:p>
        </w:tc>
        <w:tc>
          <w:tcPr>
            <w:tcW w:w="1296" w:type="dxa"/>
          </w:tcPr>
          <w:p w:rsidR="006B20AD" w:rsidRPr="00A81897" w:rsidRDefault="00F374E3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8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35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6B20AD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</w:t>
            </w: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180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</w:rPr>
              <w:t>9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</w:rPr>
              <w:t>30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b/>
                <w:bCs/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</w:rPr>
              <w:t>141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E03DBC">
        <w:trPr>
          <w:trHeight w:val="302"/>
        </w:trPr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E03DBC" w:rsidRDefault="006B20AD" w:rsidP="00527C91">
            <w:pPr>
              <w:spacing w:before="60" w:after="60"/>
              <w:rPr>
                <w:b/>
                <w:bCs/>
              </w:rPr>
            </w:pPr>
            <w:r w:rsidRPr="00E03DBC">
              <w:t>Số ĐVSN do Nhà nước bảo đảm chi thường xuyên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509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spacing w:before="60" w:after="60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 xml:space="preserve">Số lượng ĐVSN đã chuyển đổi thành công ty cổ phần </w:t>
            </w:r>
            <w:r w:rsidRPr="00A81897">
              <w:rPr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Đơn vị</w:t>
            </w:r>
          </w:p>
        </w:tc>
        <w:tc>
          <w:tcPr>
            <w:tcW w:w="1235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96" w:type="dxa"/>
            <w:vAlign w:val="center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0</w:t>
            </w:r>
          </w:p>
        </w:tc>
        <w:tc>
          <w:tcPr>
            <w:tcW w:w="1296" w:type="dxa"/>
          </w:tcPr>
          <w:p w:rsidR="006B20AD" w:rsidRPr="00A81897" w:rsidRDefault="008124D1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E03DBC">
        <w:tc>
          <w:tcPr>
            <w:tcW w:w="781" w:type="dxa"/>
            <w:vAlign w:val="center"/>
          </w:tcPr>
          <w:p w:rsidR="006B20AD" w:rsidRPr="00356B84" w:rsidRDefault="008124D1" w:rsidP="00356B84">
            <w:pPr>
              <w:spacing w:before="80" w:after="80"/>
              <w:jc w:val="center"/>
              <w:rPr>
                <w:b/>
                <w:sz w:val="25"/>
                <w:szCs w:val="25"/>
              </w:rPr>
            </w:pPr>
            <w:r w:rsidRPr="00356B84">
              <w:rPr>
                <w:b/>
                <w:sz w:val="25"/>
                <w:szCs w:val="25"/>
              </w:rPr>
              <w:t>12</w:t>
            </w:r>
          </w:p>
        </w:tc>
        <w:tc>
          <w:tcPr>
            <w:tcW w:w="5139" w:type="dxa"/>
            <w:vAlign w:val="center"/>
          </w:tcPr>
          <w:p w:rsidR="006B20AD" w:rsidRPr="00A81897" w:rsidRDefault="006B20AD" w:rsidP="00E03DBC">
            <w:pPr>
              <w:tabs>
                <w:tab w:val="left" w:pos="4519"/>
              </w:tabs>
              <w:rPr>
                <w:sz w:val="26"/>
                <w:szCs w:val="26"/>
              </w:rPr>
            </w:pPr>
            <w:r w:rsidRPr="00A81897">
              <w:rPr>
                <w:b/>
                <w:sz w:val="26"/>
                <w:szCs w:val="26"/>
              </w:rPr>
              <w:t>Cung cấp dịch vụ công trực tuyến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6B20AD" w:rsidRPr="001A6763" w:rsidRDefault="006B20AD" w:rsidP="003946D2">
            <w:pPr>
              <w:spacing w:before="20"/>
              <w:jc w:val="center"/>
              <w:rPr>
                <w:sz w:val="23"/>
                <w:szCs w:val="23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%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100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332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50</w:t>
            </w: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332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lastRenderedPageBreak/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89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%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100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908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893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E03DBC">
        <w:trPr>
          <w:trHeight w:val="380"/>
        </w:trPr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1197</w:t>
            </w: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908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893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223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%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b/>
                <w:bCs/>
                <w:iCs/>
              </w:rPr>
              <w:t>60,81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Tổng số TTHC đang cung cấp trực tuyến mức độ 3 và 4 của địa phương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1240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1.295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754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1.412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E03DBC">
            <w:pPr>
              <w:jc w:val="both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 xml:space="preserve">Tỷ lệ hồ sơ TTHC được tiếp nhận trực tuyến mức độ 3 và 4 </w:t>
            </w:r>
            <w:r w:rsidRPr="00A81897">
              <w:rPr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%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t>59,74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Hồ sơ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</w:rPr>
              <w:t>184.856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50.676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E03DBC">
        <w:trPr>
          <w:trHeight w:val="359"/>
        </w:trPr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A81897" w:rsidRDefault="006B20AD" w:rsidP="00527C91">
            <w:pPr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Hồ sơ</w:t>
            </w:r>
          </w:p>
        </w:tc>
        <w:tc>
          <w:tcPr>
            <w:tcW w:w="1235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</w:rPr>
              <w:t>110.441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36.661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-</w:t>
            </w:r>
          </w:p>
        </w:tc>
        <w:tc>
          <w:tcPr>
            <w:tcW w:w="5139" w:type="dxa"/>
          </w:tcPr>
          <w:p w:rsidR="006B20AD" w:rsidRPr="00E03DBC" w:rsidRDefault="006B20AD" w:rsidP="00E03DBC">
            <w:pPr>
              <w:jc w:val="both"/>
            </w:pPr>
            <w:r w:rsidRPr="00E03DBC">
              <w:t>Tỷ lệ TTHC được tích hợp, triển khai thanh toán trực tuyến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sz w:val="26"/>
                <w:szCs w:val="26"/>
              </w:rPr>
              <w:t>%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A81897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E03DBC" w:rsidRDefault="006B20AD" w:rsidP="00E03DBC">
            <w:pPr>
              <w:jc w:val="both"/>
              <w:rPr>
                <w:i/>
              </w:rPr>
            </w:pPr>
            <w:r w:rsidRPr="00E03DBC">
              <w:rPr>
                <w:i/>
              </w:rPr>
              <w:t>Tổng số TTHC có yêu cầu nghĩa vụ tài chính (tất cả các TTHC có phát sinh phí, lệ phí,…)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651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  <w:tr w:rsidR="006B20AD" w:rsidRPr="00A81897" w:rsidTr="00356B84">
        <w:tc>
          <w:tcPr>
            <w:tcW w:w="781" w:type="dxa"/>
            <w:vAlign w:val="center"/>
          </w:tcPr>
          <w:p w:rsidR="006B20AD" w:rsidRPr="00356B84" w:rsidRDefault="00F374E3" w:rsidP="00356B84">
            <w:pPr>
              <w:spacing w:before="80" w:after="80"/>
              <w:ind w:left="36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+</w:t>
            </w:r>
          </w:p>
        </w:tc>
        <w:tc>
          <w:tcPr>
            <w:tcW w:w="5139" w:type="dxa"/>
          </w:tcPr>
          <w:p w:rsidR="006B20AD" w:rsidRPr="00E03DBC" w:rsidRDefault="006B20AD" w:rsidP="00E03DBC">
            <w:pPr>
              <w:jc w:val="both"/>
              <w:rPr>
                <w:i/>
              </w:rPr>
            </w:pPr>
            <w:r w:rsidRPr="00E03DBC">
              <w:rPr>
                <w:i/>
              </w:rPr>
              <w:t>Số TTHC đã được tích hợp, triển khai thanh toán trực tuyến trên Cổng DVC quốc gia hoặc trên Cổng DVC của tỉnh.</w:t>
            </w:r>
          </w:p>
        </w:tc>
        <w:tc>
          <w:tcPr>
            <w:tcW w:w="1418" w:type="dxa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sz w:val="26"/>
                <w:szCs w:val="26"/>
              </w:rPr>
              <w:t>Thủ tục</w:t>
            </w:r>
          </w:p>
        </w:tc>
        <w:tc>
          <w:tcPr>
            <w:tcW w:w="1235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6B20AD" w:rsidRPr="00A81897" w:rsidRDefault="006B20AD" w:rsidP="003946D2">
            <w:pPr>
              <w:spacing w:before="60" w:after="60"/>
              <w:jc w:val="center"/>
              <w:rPr>
                <w:i/>
                <w:sz w:val="26"/>
                <w:szCs w:val="26"/>
              </w:rPr>
            </w:pPr>
            <w:r w:rsidRPr="00A81897">
              <w:rPr>
                <w:i/>
                <w:iCs/>
              </w:rPr>
              <w:t>651</w:t>
            </w:r>
          </w:p>
        </w:tc>
        <w:tc>
          <w:tcPr>
            <w:tcW w:w="1296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541</w:t>
            </w:r>
          </w:p>
        </w:tc>
        <w:tc>
          <w:tcPr>
            <w:tcW w:w="1700" w:type="dxa"/>
          </w:tcPr>
          <w:p w:rsidR="006B20AD" w:rsidRPr="00A81897" w:rsidRDefault="006B20AD" w:rsidP="003946D2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</w:tr>
    </w:tbl>
    <w:p w:rsidR="003218D8" w:rsidRPr="00A81897" w:rsidRDefault="003218D8" w:rsidP="003218D8">
      <w:pPr>
        <w:spacing w:after="120"/>
        <w:jc w:val="center"/>
        <w:rPr>
          <w:b/>
          <w:iCs/>
          <w:sz w:val="26"/>
          <w:szCs w:val="26"/>
        </w:rPr>
      </w:pPr>
    </w:p>
    <w:p w:rsidR="003218D8" w:rsidRPr="00A81897" w:rsidRDefault="003218D8" w:rsidP="003218D8"/>
    <w:p w:rsidR="003218D8" w:rsidRDefault="003218D8"/>
    <w:sectPr w:rsidR="003218D8" w:rsidSect="00E03DBC">
      <w:headerReference w:type="default" r:id="rId8"/>
      <w:headerReference w:type="first" r:id="rId9"/>
      <w:pgSz w:w="15840" w:h="12240" w:orient="landscape"/>
      <w:pgMar w:top="1531" w:right="1134" w:bottom="680" w:left="1418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1B" w:rsidRDefault="008E411B" w:rsidP="003218D8">
      <w:r>
        <w:separator/>
      </w:r>
    </w:p>
  </w:endnote>
  <w:endnote w:type="continuationSeparator" w:id="0">
    <w:p w:rsidR="008E411B" w:rsidRDefault="008E411B" w:rsidP="0032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1B" w:rsidRDefault="008E411B" w:rsidP="003218D8">
      <w:r>
        <w:separator/>
      </w:r>
    </w:p>
  </w:footnote>
  <w:footnote w:type="continuationSeparator" w:id="0">
    <w:p w:rsidR="008E411B" w:rsidRDefault="008E411B" w:rsidP="00321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732397"/>
      <w:docPartObj>
        <w:docPartGallery w:val="Page Numbers (Top of Page)"/>
        <w:docPartUnique/>
      </w:docPartObj>
    </w:sdtPr>
    <w:sdtEndPr>
      <w:rPr>
        <w:noProof/>
      </w:rPr>
    </w:sdtEndPr>
    <w:sdtContent>
      <w:p w:rsidR="003218D8" w:rsidRDefault="003218D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D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218D8" w:rsidRDefault="003218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553749"/>
      <w:docPartObj>
        <w:docPartGallery w:val="Page Numbers (Top of Page)"/>
        <w:docPartUnique/>
      </w:docPartObj>
    </w:sdtPr>
    <w:sdtEndPr>
      <w:rPr>
        <w:noProof/>
      </w:rPr>
    </w:sdtEndPr>
    <w:sdtContent>
      <w:p w:rsidR="003218D8" w:rsidRDefault="003218D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2C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18D8" w:rsidRDefault="003218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D8"/>
    <w:rsid w:val="000604E6"/>
    <w:rsid w:val="000A7E48"/>
    <w:rsid w:val="000A7EB4"/>
    <w:rsid w:val="000E405C"/>
    <w:rsid w:val="001248BA"/>
    <w:rsid w:val="001458BB"/>
    <w:rsid w:val="001E1E6F"/>
    <w:rsid w:val="001F5E89"/>
    <w:rsid w:val="002532A4"/>
    <w:rsid w:val="002B24A7"/>
    <w:rsid w:val="002B431D"/>
    <w:rsid w:val="003218D8"/>
    <w:rsid w:val="003378F1"/>
    <w:rsid w:val="00356B84"/>
    <w:rsid w:val="003946D2"/>
    <w:rsid w:val="00472D19"/>
    <w:rsid w:val="00480739"/>
    <w:rsid w:val="004A3134"/>
    <w:rsid w:val="004D0663"/>
    <w:rsid w:val="004F0329"/>
    <w:rsid w:val="0058681E"/>
    <w:rsid w:val="005C12DE"/>
    <w:rsid w:val="005E2A69"/>
    <w:rsid w:val="00613D07"/>
    <w:rsid w:val="00670683"/>
    <w:rsid w:val="00683A95"/>
    <w:rsid w:val="006B20AD"/>
    <w:rsid w:val="0070596A"/>
    <w:rsid w:val="007807BF"/>
    <w:rsid w:val="007A75A9"/>
    <w:rsid w:val="007C1DCE"/>
    <w:rsid w:val="007F0003"/>
    <w:rsid w:val="008124D1"/>
    <w:rsid w:val="00827CC8"/>
    <w:rsid w:val="008B42FC"/>
    <w:rsid w:val="008E411B"/>
    <w:rsid w:val="009C3EAF"/>
    <w:rsid w:val="00A751AD"/>
    <w:rsid w:val="00A84A7F"/>
    <w:rsid w:val="00AA69EA"/>
    <w:rsid w:val="00AD2C1E"/>
    <w:rsid w:val="00B00F51"/>
    <w:rsid w:val="00B35808"/>
    <w:rsid w:val="00B7224E"/>
    <w:rsid w:val="00B850B3"/>
    <w:rsid w:val="00BF05DF"/>
    <w:rsid w:val="00C7753F"/>
    <w:rsid w:val="00C8409B"/>
    <w:rsid w:val="00D25B1F"/>
    <w:rsid w:val="00D829FA"/>
    <w:rsid w:val="00DD3EBD"/>
    <w:rsid w:val="00DE49D7"/>
    <w:rsid w:val="00E03DBC"/>
    <w:rsid w:val="00E50A78"/>
    <w:rsid w:val="00ED5825"/>
    <w:rsid w:val="00F03049"/>
    <w:rsid w:val="00F374E3"/>
    <w:rsid w:val="00F406A3"/>
    <w:rsid w:val="00F52390"/>
    <w:rsid w:val="00FB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ullet 1,bullet,List Paragraph1"/>
    <w:basedOn w:val="Normal"/>
    <w:link w:val="ListParagraphChar"/>
    <w:uiPriority w:val="34"/>
    <w:qFormat/>
    <w:rsid w:val="003218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18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8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Footnote Text Char Char Char Char Char,Footnote Text Char Char Char Char Char Char Ch,fn,Footnotes,Footnote ak,Footnotes Char Char,Footnotes Char Ch,Geneva 9,Font: Geneva 9,Boston 10,f Char,f,Footnote Text Char1 Char1,FOOTNO,footnote text"/>
    <w:basedOn w:val="Normal"/>
    <w:link w:val="FootnoteTextChar"/>
    <w:uiPriority w:val="99"/>
    <w:unhideWhenUsed/>
    <w:qFormat/>
    <w:rsid w:val="003218D8"/>
    <w:rPr>
      <w:rFonts w:eastAsiaTheme="minorHAnsi" w:cstheme="minorBidi"/>
      <w:sz w:val="20"/>
      <w:szCs w:val="20"/>
    </w:rPr>
  </w:style>
  <w:style w:type="character" w:customStyle="1" w:styleId="FootnoteTextChar">
    <w:name w:val="Footnote Text Char"/>
    <w:aliases w:val="Footnote Text Char Char Char Char Char Char,Footnote Text Char Char Char Char Char Char Ch Char,fn Char,Footnotes Char,Footnote ak Char,Footnotes Char Char Char,Footnotes Char Ch Char,Geneva 9 Char,Font: Geneva 9 Char,Boston 10 Char"/>
    <w:basedOn w:val="DefaultParagraphFont"/>
    <w:link w:val="FootnoteText"/>
    <w:uiPriority w:val="99"/>
    <w:qFormat/>
    <w:rsid w:val="003218D8"/>
    <w:rPr>
      <w:rFonts w:ascii="Times New Roman" w:hAnsi="Times New Roman"/>
      <w:sz w:val="20"/>
      <w:szCs w:val="20"/>
    </w:rPr>
  </w:style>
  <w:style w:type="character" w:styleId="FootnoteReference">
    <w:name w:val="footnote reference"/>
    <w:aliases w:val="Footnote,Ref,de nota al pie,Footnote text,ftref,Footnote text + 13 pt,Footnote Text1,BearingPoint,16 Point,Superscript 6 Point,fr,Footnote Text Char Char Char Char Char Char Ch Char Char Char Char Char Char C,Footnote + Arial,10 pt"/>
    <w:basedOn w:val="DefaultParagraphFont"/>
    <w:link w:val="4"/>
    <w:uiPriority w:val="99"/>
    <w:unhideWhenUsed/>
    <w:qFormat/>
    <w:rsid w:val="003218D8"/>
    <w:rPr>
      <w:vertAlign w:val="superscript"/>
    </w:rPr>
  </w:style>
  <w:style w:type="character" w:customStyle="1" w:styleId="ListParagraphChar">
    <w:name w:val="List Paragraph Char"/>
    <w:aliases w:val="bullet 1 Char,bullet Char,List Paragraph1 Char"/>
    <w:link w:val="ListParagraph"/>
    <w:uiPriority w:val="34"/>
    <w:locked/>
    <w:rsid w:val="003218D8"/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4_"/>
    <w:basedOn w:val="Normal"/>
    <w:next w:val="Normal"/>
    <w:link w:val="FootnoteReference"/>
    <w:uiPriority w:val="99"/>
    <w:rsid w:val="003218D8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356B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B8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6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ullet 1,bullet,List Paragraph1"/>
    <w:basedOn w:val="Normal"/>
    <w:link w:val="ListParagraphChar"/>
    <w:uiPriority w:val="34"/>
    <w:qFormat/>
    <w:rsid w:val="003218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18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8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Footnote Text Char Char Char Char Char,Footnote Text Char Char Char Char Char Char Ch,fn,Footnotes,Footnote ak,Footnotes Char Char,Footnotes Char Ch,Geneva 9,Font: Geneva 9,Boston 10,f Char,f,Footnote Text Char1 Char1,FOOTNO,footnote text"/>
    <w:basedOn w:val="Normal"/>
    <w:link w:val="FootnoteTextChar"/>
    <w:uiPriority w:val="99"/>
    <w:unhideWhenUsed/>
    <w:qFormat/>
    <w:rsid w:val="003218D8"/>
    <w:rPr>
      <w:rFonts w:eastAsiaTheme="minorHAnsi" w:cstheme="minorBidi"/>
      <w:sz w:val="20"/>
      <w:szCs w:val="20"/>
    </w:rPr>
  </w:style>
  <w:style w:type="character" w:customStyle="1" w:styleId="FootnoteTextChar">
    <w:name w:val="Footnote Text Char"/>
    <w:aliases w:val="Footnote Text Char Char Char Char Char Char,Footnote Text Char Char Char Char Char Char Ch Char,fn Char,Footnotes Char,Footnote ak Char,Footnotes Char Char Char,Footnotes Char Ch Char,Geneva 9 Char,Font: Geneva 9 Char,Boston 10 Char"/>
    <w:basedOn w:val="DefaultParagraphFont"/>
    <w:link w:val="FootnoteText"/>
    <w:uiPriority w:val="99"/>
    <w:qFormat/>
    <w:rsid w:val="003218D8"/>
    <w:rPr>
      <w:rFonts w:ascii="Times New Roman" w:hAnsi="Times New Roman"/>
      <w:sz w:val="20"/>
      <w:szCs w:val="20"/>
    </w:rPr>
  </w:style>
  <w:style w:type="character" w:styleId="FootnoteReference">
    <w:name w:val="footnote reference"/>
    <w:aliases w:val="Footnote,Ref,de nota al pie,Footnote text,ftref,Footnote text + 13 pt,Footnote Text1,BearingPoint,16 Point,Superscript 6 Point,fr,Footnote Text Char Char Char Char Char Char Ch Char Char Char Char Char Char C,Footnote + Arial,10 pt"/>
    <w:basedOn w:val="DefaultParagraphFont"/>
    <w:link w:val="4"/>
    <w:uiPriority w:val="99"/>
    <w:unhideWhenUsed/>
    <w:qFormat/>
    <w:rsid w:val="003218D8"/>
    <w:rPr>
      <w:vertAlign w:val="superscript"/>
    </w:rPr>
  </w:style>
  <w:style w:type="character" w:customStyle="1" w:styleId="ListParagraphChar">
    <w:name w:val="List Paragraph Char"/>
    <w:aliases w:val="bullet 1 Char,bullet Char,List Paragraph1 Char"/>
    <w:link w:val="ListParagraph"/>
    <w:uiPriority w:val="34"/>
    <w:locked/>
    <w:rsid w:val="003218D8"/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4_"/>
    <w:basedOn w:val="Normal"/>
    <w:next w:val="Normal"/>
    <w:link w:val="FootnoteReference"/>
    <w:uiPriority w:val="99"/>
    <w:rsid w:val="003218D8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356B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B8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6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3</cp:revision>
  <cp:lastPrinted>2023-08-25T09:12:00Z</cp:lastPrinted>
  <dcterms:created xsi:type="dcterms:W3CDTF">2023-08-25T08:26:00Z</dcterms:created>
  <dcterms:modified xsi:type="dcterms:W3CDTF">2023-08-25T09:16:00Z</dcterms:modified>
</cp:coreProperties>
</file>